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47"/>
        <w:gridCol w:w="666"/>
        <w:gridCol w:w="5244"/>
        <w:gridCol w:w="426"/>
        <w:gridCol w:w="425"/>
        <w:gridCol w:w="468"/>
      </w:tblGrid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>10. INFORMACIÓN PARA LOS AUTORES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Anexo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UKSG 1994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211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Existencia de información para autores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*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212*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Identificación bibliográfica del fascículo en que se publica la información para autores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6"/>
            </w:pPr>
            <w:r>
              <w:t>10.1 Identificación, Cobertura, Contenido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213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Título completo de la revista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 xml:space="preserve">Periodicidad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Organización editora, patrocinadora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UKSG 1994, 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proofErr w:type="spellStart"/>
            <w:r>
              <w:rPr>
                <w:sz w:val="18"/>
              </w:rPr>
              <w:t>Huth</w:t>
            </w:r>
            <w:proofErr w:type="spellEnd"/>
            <w:r>
              <w:rPr>
                <w:sz w:val="18"/>
              </w:rPr>
              <w:t xml:space="preserve"> 1987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216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  <w:r>
              <w:t>Cobertura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  <w:r>
              <w:t>Audiencia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UKSG 1994, CBE 1994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  <w:r>
              <w:t>Secciones de la revista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Historia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Idioma de publicación: lenguas aceptadas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6"/>
            </w:pPr>
            <w:r>
              <w:t>10.2 Presentación de manuscritos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ICMJE 2001, 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221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rPr>
                <w:i w:val="0"/>
              </w:rPr>
            </w:pPr>
            <w:r>
              <w:rPr>
                <w:i w:val="0"/>
              </w:rPr>
              <w:t>Remisión a normas o manual de estilo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  <w:rPr>
                <w:b/>
                <w:bCs/>
              </w:rPr>
            </w:pPr>
            <w:r>
              <w:rPr>
                <w:b/>
                <w:bCs/>
                <w:i w:val="0"/>
                <w:iCs/>
              </w:rPr>
              <w:t>10.2.1</w:t>
            </w:r>
            <w:r>
              <w:rPr>
                <w:b/>
                <w:bCs/>
              </w:rPr>
              <w:t xml:space="preserve"> Soporte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jc w:val="center"/>
              <w:rPr>
                <w:i/>
                <w:iCs/>
              </w:rPr>
            </w:pPr>
            <w:r>
              <w:t>10.2.1.1</w:t>
            </w:r>
            <w:r>
              <w:rPr>
                <w:i/>
                <w:iCs/>
              </w:rPr>
              <w:t xml:space="preserve"> Papel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ISO 215: A.2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  <w:lang w:val="en-GB"/>
              </w:rPr>
            </w:pPr>
            <w:r>
              <w:rPr>
                <w:lang w:val="en-GB"/>
              </w:rPr>
              <w:t>222F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Tipo: calidad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  <w:lang w:val="en-GB"/>
              </w:rPr>
            </w:pPr>
            <w:r>
              <w:rPr>
                <w:lang w:val="en-GB"/>
              </w:rPr>
              <w:t>223F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Color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  <w:lang w:val="en-GB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lang w:val="en-GB"/>
              </w:rPr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ISO 215: A.2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  <w:r>
              <w:t>224F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Tamaño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  <w:r>
              <w:t>225F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Uso de dorso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ISO 215: A.4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226F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Tinta: uno o más colores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ISO 215: A.2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  <w:lang w:val="en-GB"/>
              </w:rPr>
            </w:pPr>
            <w:r>
              <w:rPr>
                <w:lang w:val="en-GB"/>
              </w:rPr>
              <w:t>227F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Número de copias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jc w:val="center"/>
            </w:pPr>
            <w:r>
              <w:t xml:space="preserve">10.2.1.2 </w:t>
            </w:r>
            <w:r>
              <w:rPr>
                <w:i/>
                <w:iCs/>
              </w:rPr>
              <w:t>Informático</w:t>
            </w:r>
            <w:r>
              <w:t xml:space="preserve"> (UKSG 1994, CBE 1994) 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228*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Formato disquete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229*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Número de copias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230*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Número de ficheros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231*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Programas y formato para edición del texto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232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Programas y formato para edición de tablas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233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Programas y formato para edición de ilustraciones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234*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Datos identificación etiqueta del disquete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  <w:rPr>
                <w:b/>
                <w:bCs/>
              </w:rPr>
            </w:pPr>
            <w:r>
              <w:rPr>
                <w:b/>
                <w:bCs/>
                <w:i w:val="0"/>
                <w:iCs/>
              </w:rPr>
              <w:t>10.2.2</w:t>
            </w:r>
            <w:r>
              <w:rPr>
                <w:b/>
                <w:bCs/>
              </w:rPr>
              <w:t xml:space="preserve"> Formato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  <w:r>
              <w:t>235F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Márgenes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  <w:r>
              <w:t>236F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Párrafos (separación)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237*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Párrafos (justificación)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238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Longitud de líneas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239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 xml:space="preserve">Espaciado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240*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Interlineado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241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Paginación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242*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Tipos: estilo y cuerpos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C0C0C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  <w:rPr>
                <w:b/>
                <w:bCs/>
              </w:rPr>
            </w:pPr>
            <w:r>
              <w:rPr>
                <w:b/>
                <w:bCs/>
                <w:i w:val="0"/>
                <w:iCs/>
              </w:rPr>
              <w:t>10.2.3</w:t>
            </w:r>
            <w:r>
              <w:rPr>
                <w:b/>
                <w:bCs/>
              </w:rPr>
              <w:t xml:space="preserve"> Contenido, estructura y estilo del manuscrito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243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rPr>
                <w:i w:val="0"/>
              </w:rPr>
            </w:pPr>
            <w:r>
              <w:rPr>
                <w:i w:val="0"/>
              </w:rPr>
              <w:t>Orden de las secciones, partes o apartados de los manuscritos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jc w:val="center"/>
            </w:pPr>
            <w:r>
              <w:rPr>
                <w:iCs/>
                <w:color w:val="000000"/>
              </w:rPr>
              <w:t>10.2.3.1</w:t>
            </w:r>
            <w:r>
              <w:rPr>
                <w:i/>
                <w:color w:val="000000"/>
              </w:rPr>
              <w:t xml:space="preserve"> Portada (primera página o página de título)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244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Existencia de portada (primera página o página de título)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rPr>
                <w:i w:val="0"/>
              </w:rPr>
            </w:pPr>
            <w:r>
              <w:rPr>
                <w:i w:val="0"/>
              </w:rPr>
              <w:t>Extensión del título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246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Contenido informativo del título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247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Subtítulos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248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Empleo de abreviaturas, acrónimos, símbolos y fórmulas en el título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  <w:color w:val="80808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lastRenderedPageBreak/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249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Estilo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UKSG 1994:22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Traducción del título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1994:583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251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Nombre(s) y apellidos completos autor(es)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1994:583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252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Orden de los autores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253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Límite número de autores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1994:583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254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 xml:space="preserve">Título académico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1994:583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255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Oficio o profesión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1994:583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Cargo o empleo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257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Centro o institución de trabajo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  <w:r>
              <w:t>Lugar de trabajo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ACS 1997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Responsable correspondencia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Dirección postal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261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Correo electrónico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262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Teléfono y Fax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263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Reconocimiento de becas o soporte financiero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A0A0A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10.2.3.2</w:t>
            </w:r>
            <w:r>
              <w:rPr>
                <w:i/>
              </w:rPr>
              <w:t xml:space="preserve"> Página de resumen y palabras clave (segunda página)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264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 xml:space="preserve">Existencia de </w:t>
            </w:r>
            <w:r>
              <w:rPr>
                <w:i w:val="0"/>
              </w:rPr>
              <w:t>página de resumen y palabras clave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214: 3.4.1, 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265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Contenido informativo: clase de resumen según tipo de trabajo publicado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214: 5.4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266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rPr>
                <w:i w:val="0"/>
              </w:rPr>
            </w:pPr>
            <w:r>
              <w:rPr>
                <w:i w:val="0"/>
              </w:rPr>
              <w:t>Extensión del resumen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267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Estructura del resumen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214: 5.3.3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268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Empleo de abreviaturas, acrónimos, símbolos y fórmulas en el título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  <w:color w:val="80808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214: 4.1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269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Inclusión de referencias bibliográficas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214: 5.5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Estilo del resumen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  <w:color w:val="80808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4.3.1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271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Traducción del resumen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4.3.2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272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Palabras clave: número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4.3.3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273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Empleo de tesauro o lista de encabezamientos de materias autorizada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Traducción palabras clave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</w:pPr>
            <w:r>
              <w:rPr>
                <w:i w:val="0"/>
                <w:iCs/>
              </w:rPr>
              <w:t>10.2.3.3</w:t>
            </w:r>
            <w:r>
              <w:t xml:space="preserve"> Texto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5.1</w:t>
            </w:r>
          </w:p>
          <w:p w:rsidR="009233F4" w:rsidRDefault="009233F4" w:rsidP="003D5FF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CBE 1994:574, 589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275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7"/>
              <w:rPr>
                <w:b w:val="0"/>
              </w:rPr>
            </w:pPr>
            <w:r>
              <w:rPr>
                <w:b w:val="0"/>
              </w:rPr>
              <w:t>Contenido según tipo de trabajo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5.1</w:t>
            </w:r>
          </w:p>
          <w:p w:rsidR="009233F4" w:rsidRDefault="009233F4" w:rsidP="003D5FF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CBE 1994:574, 589</w:t>
            </w:r>
          </w:p>
          <w:p w:rsidR="009233F4" w:rsidRDefault="009233F4" w:rsidP="003D5FFB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6"/>
              </w:rPr>
              <w:t>ACS 1997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276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t>Estructura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277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Extensión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278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Apartados y </w:t>
            </w:r>
            <w:proofErr w:type="spellStart"/>
            <w:r>
              <w:rPr>
                <w:rFonts w:ascii="Times New Roman" w:hAnsi="Times New Roman"/>
                <w:lang w:val="es-ES"/>
              </w:rPr>
              <w:t>subapartados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5.3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2145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279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Numeración de apartados y </w:t>
            </w:r>
            <w:proofErr w:type="spellStart"/>
            <w:r>
              <w:rPr>
                <w:rFonts w:ascii="Times New Roman" w:hAnsi="Times New Roman"/>
                <w:lang w:val="es-ES"/>
              </w:rPr>
              <w:t>subapartados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31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1000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280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Unidades de medida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pStyle w:val="Textoindependiente3"/>
            </w:pPr>
            <w:r>
              <w:lastRenderedPageBreak/>
              <w:t>ISO (diversas)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281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Nombres, símbolos y nomenclaturas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5.6, 5.8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282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Citas textuales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5.6, A.6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690: 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283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Citas bibliográficas: sistema y formato de citación bibliográfica en el texto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5.5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284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Notas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10.2.3.4</w:t>
            </w:r>
            <w:r>
              <w:rPr>
                <w:i/>
              </w:rPr>
              <w:t xml:space="preserve"> Agradecimientos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5.7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285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Agradecimientos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10.2.3.5</w:t>
            </w:r>
            <w:r>
              <w:rPr>
                <w:i/>
              </w:rPr>
              <w:t xml:space="preserve"> Bibliografía (Lista de referencias)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286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Remisión a la norma  seguida en la redacción de las referencias bibliográficas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5.8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287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Tipos de documentos a citar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5.8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Cotejo de documentos originales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289*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Número máximo de referencias bibliográficas admitidas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690: 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Fuente de información para la redacción de la referencia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5.6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291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Disposición de las referencias: orden y colocación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690: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Items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bibliográficos dentro de la referencia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690: 6.4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Sistema de puntuación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690: 6.5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294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Tipografía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690: 7.1.4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Número de autores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296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Títulos abreviados de revistas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A.6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690: 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Pautas ejemplificadas de referencias a documentos convencionales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690-2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298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Pautas ejemplificadas de referencias a documentos electrónicos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10.2.3.6</w:t>
            </w:r>
            <w:r>
              <w:rPr>
                <w:i/>
              </w:rPr>
              <w:t xml:space="preserve"> Tablas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299*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Número máximo de tablas admitidas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7.2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Numeración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7.2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301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Título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302*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Cabeceras: títulos de columnas y filas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303*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Leyendas: notas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304*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Interlineado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305*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Abreviaturas y símbolos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7.2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306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Fuente: cita origen de las tablas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307*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Colocación en el manuscrito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jc w:val="center"/>
              <w:rPr>
                <w:i/>
              </w:rPr>
            </w:pPr>
            <w:r>
              <w:rPr>
                <w:iCs/>
              </w:rPr>
              <w:t>10.2.3.7</w:t>
            </w:r>
            <w:r>
              <w:rPr>
                <w:i/>
              </w:rPr>
              <w:t xml:space="preserve"> Ilustraciones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308*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Número máximo de ilustraciones admitidas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7.2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309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Numeración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7.2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Título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311F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Cabeceras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312F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Leyendas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7.2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Fuente: cita origen de las tablas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314F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Colocación en el manuscrito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315F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Tamaño con respecto al tamaño final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316F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Forma y acabado de las fotografías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317F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Escala y porcentaje de reducción de dibujos, mapas...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 w:val="0"/>
                <w:i/>
              </w:rPr>
            </w:pPr>
            <w:r>
              <w:rPr>
                <w:b w:val="0"/>
                <w:iCs/>
              </w:rPr>
              <w:t>10.2.3.8</w:t>
            </w:r>
            <w:r>
              <w:rPr>
                <w:b w:val="0"/>
                <w:i/>
              </w:rPr>
              <w:t xml:space="preserve"> Apéndices o anexos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  <w:r>
              <w:t>318*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Admisión de apéndices o anexos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319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Identificación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320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Contenido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Colocación en el manuscrito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*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10.3 Proceso editorial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b/>
                <w:bCs/>
                <w:i w:val="0"/>
                <w:iCs/>
              </w:rPr>
              <w:t>10.3.1</w:t>
            </w:r>
            <w:r>
              <w:t xml:space="preserve"> </w:t>
            </w:r>
            <w:r>
              <w:rPr>
                <w:b/>
                <w:bCs/>
              </w:rPr>
              <w:t>Envío de manuscritos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322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Identificación y dirección postal o electrónica completa a la que enviar los manuscritos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UKSG 1994:18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323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Teléfono y fax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324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  <w:r>
              <w:t>Forma de envío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iCs/>
              </w:rPr>
            </w:pPr>
            <w:r>
              <w:t>10.3.1.1</w:t>
            </w:r>
            <w:r>
              <w:rPr>
                <w:i/>
                <w:iCs/>
              </w:rPr>
              <w:t xml:space="preserve"> Carta de presentación: contenido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325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Título completo del artículo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326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Nombres de los autores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327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Dirección responsable correspondencia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328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Sección de la revista en la que se desea publicar el artículo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329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Aportaciones del trabajo: originalidad y novedad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330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Justificación de la selección de la revista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331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Sugerencia de potenciales revisores (identificación y dirección postal y electrónica)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332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Declaración de autoría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333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Declaración de originalidad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Declaración no envío simultáneo a otras publicaciones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EASE 1994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Declaración de conflictos de intereses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336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Declaración sobre agradecimientos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337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Declaración de aceptar la introducción de cambios en el contenido y estilo del manuscrito por parte de la redacción de la revista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AMA 1998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338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Declaración de permitir acceso de la revista a los protocolos, registros y fuentes de los datos científicos originales en los que se funda un artículo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UKSG 1994:18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339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Declaración de aceptación de correr con los gastos derivados del proceso de revisión del manuscrito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UKSG 1994:18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Declaración de aceptación de correr con los gastos de ilustraciones en color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341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Declaración de haber respetado el derecho a la intimidad de las personas que participan en una investigación (consentimiento informado)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342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Declaración de haber cumplido con normas éticas en experimentación con humanos y /o animales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iCs/>
              </w:rPr>
            </w:pPr>
            <w:r>
              <w:t>10.3.1.2</w:t>
            </w:r>
            <w:r>
              <w:rPr>
                <w:i/>
                <w:iCs/>
              </w:rPr>
              <w:t xml:space="preserve"> Formularios, permisos y otros documentos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343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Formulario de comprobación cumplimiento instrucciones preparación de manuscritos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Formulario de transferencia  de derechos de propiedad intelectual sobre el artículo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Permiso de publicación por parte de la institución en la que trabajen los autores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346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Ejemplares de manuscritos o artículos afines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347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Permiso reproducción información protegida por derecho de propiedad intelectual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</w:rPr>
            </w:pPr>
            <w:r>
              <w:rPr>
                <w:b/>
                <w:bCs/>
                <w:i w:val="0"/>
                <w:iCs/>
              </w:rPr>
              <w:t>10.3.2</w:t>
            </w:r>
            <w:r>
              <w:rPr>
                <w:b/>
                <w:bCs/>
              </w:rPr>
              <w:t xml:space="preserve"> Procedimiento de evaluación y aceptación de manuscritos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UKSG 1994:15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348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Explicación general del proceso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349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rPr>
                <w:i/>
              </w:rPr>
            </w:pPr>
            <w:r>
              <w:t xml:space="preserve">Existencia procedimiento rápido de revisión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PGI-79/WS/8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EASE 1999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Acuse de recibo y agradecimiento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lastRenderedPageBreak/>
              <w:t>CSE 2000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351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Mecanismos existentes en la Redacción para informar del estado en que se encuentra un manuscrito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iCs/>
              </w:rPr>
            </w:pPr>
            <w:r>
              <w:t>10.3.2.1</w:t>
            </w:r>
            <w:r>
              <w:rPr>
                <w:i/>
                <w:iCs/>
              </w:rPr>
              <w:t xml:space="preserve"> Revisión editorial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EASE 1999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AMA 1998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352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Descripción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AMA 1998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353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Formulario de revisión editorial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iCs/>
              </w:rPr>
            </w:pPr>
            <w:r>
              <w:t>10.3.2.2</w:t>
            </w:r>
            <w:r>
              <w:rPr>
                <w:i/>
                <w:iCs/>
              </w:rPr>
              <w:t xml:space="preserve"> Sistema de arbitraje científico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EASE 1999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354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Sistema de arbitraje empleado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355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Número y clase de artículos revisados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356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Selección revisores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357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Número de revisores empleados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358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Existencia revisores metodológicos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359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Existencia revisores de estilo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PGI-79/WS/8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Plazos remisión informe de valoración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361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Guías e instrucciones para los revisores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EASE 1999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362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Formulario de evaluación a cumplimentar por  los revisores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Procedimiento de comunicación de la redacción con los revisores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Solicitud previa de aceptación evaluación del manuscrito por parte de los revisores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PGI-79/WS/8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CSE 2000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365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Toma de decisiones sobre el destino del manuscrito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366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 xml:space="preserve">Notificación a los autores de la decisión provisional: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367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Réplica de los autores: forma y contenido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368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 xml:space="preserve">Decisión definitiva: notificación aceptación /rechazo e </w:t>
            </w:r>
            <w:r>
              <w:rPr>
                <w:i w:val="0"/>
                <w:color w:val="000000"/>
              </w:rPr>
              <w:t>instrucciones para la presentación de la versión definitiva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EASE 1999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AMA 1998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369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Recurso contra la decisión de rechazo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bCs/>
              </w:rPr>
            </w:pPr>
            <w:r>
              <w:rPr>
                <w:bCs/>
              </w:rPr>
              <w:t>370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Devolución de trabajos rechazados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  <w:i w:val="0"/>
                <w:iCs/>
              </w:rPr>
              <w:t>10.3.3</w:t>
            </w:r>
            <w:r>
              <w:rPr>
                <w:bCs/>
              </w:rPr>
              <w:t xml:space="preserve"> Corrección de pruebas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371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Instrucciones para la corrección de pruebas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A.7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t>ISO 5776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372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Signos de corrección empleados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373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Plazos para la corrección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  <w:i w:val="0"/>
                <w:iCs/>
              </w:rPr>
              <w:t>10.3.4</w:t>
            </w:r>
            <w:r>
              <w:rPr>
                <w:bCs/>
              </w:rPr>
              <w:t xml:space="preserve"> Publicación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374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Calendario de publicación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AMA 1998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375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Revisión </w:t>
            </w:r>
            <w:proofErr w:type="spellStart"/>
            <w:r>
              <w:rPr>
                <w:rFonts w:ascii="Times New Roman" w:hAnsi="Times New Roman"/>
                <w:lang w:val="es-ES"/>
              </w:rPr>
              <w:t>pospublicación</w:t>
            </w:r>
            <w:proofErr w:type="spellEnd"/>
            <w:r>
              <w:rPr>
                <w:rFonts w:ascii="Times New Roman" w:hAnsi="Times New Roman"/>
                <w:lang w:val="es-ES"/>
              </w:rPr>
              <w:t>: departamento del error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ISO 215: 10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376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Publicación de erratas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iCs/>
              </w:rPr>
            </w:pPr>
            <w:r>
              <w:rPr>
                <w:bCs/>
                <w:i w:val="0"/>
              </w:rPr>
              <w:t>10.3.5</w:t>
            </w:r>
            <w:r>
              <w:rPr>
                <w:bCs/>
                <w:iCs/>
              </w:rPr>
              <w:t xml:space="preserve"> Separatas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215: A.8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377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>Número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UKSG 1994:18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378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>Coste de separatas adicionales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ISO 8: 4.3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UKSG 1994:18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379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 w:val="0"/>
              </w:rPr>
            </w:pPr>
            <w:r>
              <w:rPr>
                <w:b w:val="0"/>
              </w:rPr>
              <w:t>Procedimiento, forma y lugar petición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10.4 Política editorial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b/>
                <w:bCs/>
                <w:i w:val="0"/>
                <w:iCs/>
              </w:rPr>
              <w:t>10.4.1</w:t>
            </w:r>
            <w:r>
              <w:t xml:space="preserve"> </w:t>
            </w:r>
            <w:r>
              <w:rPr>
                <w:b/>
                <w:bCs/>
              </w:rPr>
              <w:t>Principios éticos en la investigación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380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Experimentos con humanos. Adhesión Declaración Helsinki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381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Experimentos con animales. Adhesión Declaración Helsinki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lastRenderedPageBreak/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382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Derecho a la intimidad de las personas que participan en una investigación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383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Patrocinio y responsabilidad sobre la investigación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</w:rPr>
            </w:pPr>
            <w:r>
              <w:rPr>
                <w:b/>
                <w:bCs/>
                <w:i w:val="0"/>
                <w:iCs/>
              </w:rPr>
              <w:t>10.4.2</w:t>
            </w:r>
            <w:r>
              <w:rPr>
                <w:b/>
                <w:bCs/>
              </w:rPr>
              <w:t xml:space="preserve"> Principios éticos en la publicación</w:t>
            </w: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Cs/>
              </w:rPr>
            </w:pPr>
            <w:r>
              <w:rPr>
                <w:i w:val="0"/>
              </w:rPr>
              <w:t xml:space="preserve">10.4.2.1 </w:t>
            </w:r>
            <w:r>
              <w:rPr>
                <w:iCs/>
              </w:rPr>
              <w:t>Fraude científico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EASE 1994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CSE 2000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384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Supuestos de fabricación, falsificación u omisión de datos, plagio.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385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Política y procedimientos seguidos por la revista para detectar el fraude y gestionar reclamaciones y denuncias al respecto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Cs/>
              </w:rPr>
            </w:pPr>
            <w:r>
              <w:rPr>
                <w:i w:val="0"/>
              </w:rPr>
              <w:t>10.4.2.2</w:t>
            </w:r>
            <w:r>
              <w:rPr>
                <w:iCs/>
              </w:rPr>
              <w:t xml:space="preserve"> Publicación duplicada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2000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386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Definición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AMA 1998:100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387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imes New Roman" w:hAnsi="Times New Roman"/>
                <w:lang w:val="es-ES"/>
              </w:rPr>
              <w:t>Política seguida por la revista para evitar, detectar y gestionar reclamaciones y denuncias sobre publicación duplicada.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 xml:space="preserve">10.4.2.3 </w:t>
            </w:r>
            <w:r>
              <w:rPr>
                <w:i/>
                <w:iCs/>
              </w:rPr>
              <w:t>Autoría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388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t>Requisitos y criterios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Límites número de autores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CBE 1994:574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Orden de autores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 xml:space="preserve">10.4.2.4 </w:t>
            </w:r>
            <w:r>
              <w:rPr>
                <w:i/>
                <w:iCs/>
              </w:rPr>
              <w:t>Conflictos de interés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Responsabilidad de los autores,  revisores y miembros de la redacción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392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Fonts w:ascii="Times New Roman" w:hAnsi="Times New Roman"/>
                <w:lang w:val="es-ES"/>
              </w:rPr>
              <w:t>Política y procedimientos seguidos por la revista para evitar, detectar y gestionar reclamaciones y denuncias al respecto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t xml:space="preserve">10.4.2.5 </w:t>
            </w:r>
            <w:r>
              <w:rPr>
                <w:i/>
                <w:iCs/>
              </w:rPr>
              <w:t>Confidencialidad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EASE 1994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393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Directrices sobre confidencialidad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8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pStyle w:val="Ttulo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bCs/>
              </w:rPr>
            </w:pPr>
            <w:r>
              <w:rPr>
                <w:b/>
                <w:bCs/>
                <w:i w:val="0"/>
                <w:iCs/>
              </w:rPr>
              <w:t>10.4.3</w:t>
            </w:r>
            <w:r>
              <w:rPr>
                <w:b/>
                <w:bCs/>
              </w:rPr>
              <w:t xml:space="preserve"> Criterios y política de evaluación de manuscritos</w:t>
            </w: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CBE 1994:574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extonotapie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lang w:val="es-ES"/>
              </w:rPr>
            </w:pPr>
            <w:r>
              <w:rPr>
                <w:rFonts w:ascii="Times New Roman" w:hAnsi="Times New Roman"/>
                <w:bCs/>
                <w:lang w:val="es-ES"/>
              </w:rPr>
              <w:t>394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Criterios para la aceptación de manuscritos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ICMJE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395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Selección revisores: criterios y fuentes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396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Responsabilidades y funciones  de los revisores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397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Comunicación decisión final a los revisores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EASE 1999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WAME 2001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AMA 1998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398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Intercambio informes de los revisores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399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Reconocimiento de la labor de los revisores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WAME 2001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Evaluación calidad de las revisiones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  <w:tr w:rsidR="009233F4" w:rsidTr="003D5FFB">
        <w:trPr>
          <w:cantSplit/>
          <w:jc w:val="center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33F4" w:rsidRDefault="009233F4" w:rsidP="003D5FFB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CSE 2000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</w:rPr>
            </w:pPr>
            <w:r>
              <w:rPr>
                <w:bCs/>
              </w:rPr>
              <w:t>401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F4" w:rsidRDefault="009233F4" w:rsidP="003D5FFB">
            <w:pPr>
              <w:pStyle w:val="Ttulo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 w:val="0"/>
              </w:rPr>
            </w:pPr>
            <w:r>
              <w:rPr>
                <w:i w:val="0"/>
              </w:rPr>
              <w:t>Procedimiento para atender quejas y reclamaciones de los autores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shd w:val="clear" w:color="auto" w:fill="999999"/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33F4" w:rsidRDefault="009233F4" w:rsidP="003D5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E3229D" w:rsidRDefault="00E3229D">
      <w:bookmarkStart w:id="0" w:name="_GoBack"/>
      <w:bookmarkEnd w:id="0"/>
    </w:p>
    <w:sectPr w:rsidR="00E32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722"/>
    <w:multiLevelType w:val="singleLevel"/>
    <w:tmpl w:val="96385D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" w:hAnsi="Times" w:hint="default"/>
        <w:b/>
        <w:i w:val="0"/>
        <w:sz w:val="24"/>
        <w:u w:val="none"/>
      </w:rPr>
    </w:lvl>
  </w:abstractNum>
  <w:abstractNum w:abstractNumId="1">
    <w:nsid w:val="0C2A4C86"/>
    <w:multiLevelType w:val="singleLevel"/>
    <w:tmpl w:val="07EA0A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0374D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D44706"/>
    <w:multiLevelType w:val="hybridMultilevel"/>
    <w:tmpl w:val="842C0B1A"/>
    <w:lvl w:ilvl="0" w:tplc="4A481B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DAB"/>
    <w:multiLevelType w:val="hybridMultilevel"/>
    <w:tmpl w:val="7362D540"/>
    <w:lvl w:ilvl="0" w:tplc="F67A2D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74021"/>
    <w:multiLevelType w:val="hybridMultilevel"/>
    <w:tmpl w:val="EE5A731A"/>
    <w:lvl w:ilvl="0" w:tplc="BCE883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A656E"/>
    <w:multiLevelType w:val="hybridMultilevel"/>
    <w:tmpl w:val="588E9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90774"/>
    <w:multiLevelType w:val="singleLevel"/>
    <w:tmpl w:val="3E18AADE"/>
    <w:lvl w:ilvl="0">
      <w:start w:val="3"/>
      <w:numFmt w:val="decimal"/>
      <w:lvlText w:val="%1. "/>
      <w:legacy w:legacy="1" w:legacySpace="0" w:legacyIndent="283"/>
      <w:lvlJc w:val="left"/>
      <w:pPr>
        <w:ind w:left="783" w:hanging="283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8">
    <w:nsid w:val="63395770"/>
    <w:multiLevelType w:val="singleLevel"/>
    <w:tmpl w:val="50E82DA0"/>
    <w:lvl w:ilvl="0">
      <w:start w:val="5"/>
      <w:numFmt w:val="decimal"/>
      <w:lvlText w:val="2.2.%1 "/>
      <w:legacy w:legacy="1" w:legacySpace="0" w:legacyIndent="283"/>
      <w:lvlJc w:val="left"/>
      <w:pPr>
        <w:ind w:left="1020" w:hanging="283"/>
      </w:pPr>
      <w:rPr>
        <w:rFonts w:ascii="Times" w:hAnsi="Times" w:hint="default"/>
        <w:b/>
        <w:i w:val="0"/>
        <w:sz w:val="20"/>
        <w:u w:val="none"/>
      </w:rPr>
    </w:lvl>
  </w:abstractNum>
  <w:abstractNum w:abstractNumId="9">
    <w:nsid w:val="787A311B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2.2.%1 "/>
        <w:legacy w:legacy="1" w:legacySpace="0" w:legacyIndent="283"/>
        <w:lvlJc w:val="left"/>
        <w:pPr>
          <w:ind w:left="1020" w:hanging="283"/>
        </w:pPr>
        <w:rPr>
          <w:rFonts w:ascii="Times" w:hAnsi="Times" w:hint="default"/>
          <w:b/>
          <w:i w:val="0"/>
          <w:sz w:val="20"/>
          <w:u w:val="none"/>
        </w:rPr>
      </w:lvl>
    </w:lvlOverride>
  </w:num>
  <w:num w:numId="4">
    <w:abstractNumId w:val="8"/>
    <w:lvlOverride w:ilvl="0">
      <w:lvl w:ilvl="0">
        <w:start w:val="7"/>
        <w:numFmt w:val="decimal"/>
        <w:lvlText w:val="2.2.%1 "/>
        <w:legacy w:legacy="1" w:legacySpace="0" w:legacyIndent="283"/>
        <w:lvlJc w:val="left"/>
        <w:pPr>
          <w:ind w:left="1020" w:hanging="283"/>
        </w:pPr>
        <w:rPr>
          <w:rFonts w:ascii="Times" w:hAnsi="Times" w:hint="default"/>
          <w:b/>
          <w:i w:val="0"/>
          <w:sz w:val="20"/>
          <w:u w:val="none"/>
        </w:rPr>
      </w:lvl>
    </w:lvlOverride>
  </w:num>
  <w:num w:numId="5">
    <w:abstractNumId w:val="7"/>
  </w:num>
  <w:num w:numId="6">
    <w:abstractNumId w:val="8"/>
    <w:lvlOverride w:ilvl="0">
      <w:lvl w:ilvl="0">
        <w:start w:val="1"/>
        <w:numFmt w:val="decimal"/>
        <w:lvlText w:val="2.2.%1 "/>
        <w:legacy w:legacy="1" w:legacySpace="0" w:legacyIndent="283"/>
        <w:lvlJc w:val="left"/>
        <w:pPr>
          <w:ind w:left="1020" w:hanging="283"/>
        </w:pPr>
        <w:rPr>
          <w:rFonts w:ascii="Times" w:hAnsi="Times" w:hint="default"/>
          <w:b/>
          <w:i w:val="0"/>
          <w:sz w:val="20"/>
          <w:u w:val="none"/>
        </w:rPr>
      </w:lvl>
    </w:lvlOverride>
  </w:num>
  <w:num w:numId="7">
    <w:abstractNumId w:val="8"/>
    <w:lvlOverride w:ilvl="0">
      <w:lvl w:ilvl="0">
        <w:start w:val="7"/>
        <w:numFmt w:val="decimal"/>
        <w:lvlText w:val="2.2.%1 "/>
        <w:legacy w:legacy="1" w:legacySpace="0" w:legacyIndent="283"/>
        <w:lvlJc w:val="left"/>
        <w:pPr>
          <w:ind w:left="1020" w:hanging="283"/>
        </w:pPr>
        <w:rPr>
          <w:rFonts w:ascii="Times" w:hAnsi="Times" w:hint="default"/>
          <w:b/>
          <w:i w:val="0"/>
          <w:sz w:val="20"/>
          <w:u w:val="none"/>
        </w:rPr>
      </w:lvl>
    </w:lvlOverride>
  </w:num>
  <w:num w:numId="8">
    <w:abstractNumId w:val="2"/>
  </w:num>
  <w:num w:numId="9">
    <w:abstractNumId w:val="1"/>
  </w:num>
  <w:num w:numId="10">
    <w:abstractNumId w:val="9"/>
  </w:num>
  <w:num w:numId="11">
    <w:abstractNumId w:val="8"/>
    <w:lvlOverride w:ilvl="0">
      <w:lvl w:ilvl="0">
        <w:start w:val="1"/>
        <w:numFmt w:val="decimal"/>
        <w:lvlText w:val="2.2.%1 "/>
        <w:legacy w:legacy="1" w:legacySpace="0" w:legacyIndent="283"/>
        <w:lvlJc w:val="left"/>
        <w:pPr>
          <w:ind w:left="1020" w:hanging="283"/>
        </w:pPr>
        <w:rPr>
          <w:rFonts w:ascii="Times" w:hAnsi="Times" w:hint="default"/>
          <w:b/>
          <w:i w:val="0"/>
          <w:sz w:val="20"/>
          <w:u w:val="none"/>
        </w:rPr>
      </w:lvl>
    </w:lvlOverride>
  </w:num>
  <w:num w:numId="12">
    <w:abstractNumId w:val="8"/>
    <w:lvlOverride w:ilvl="0">
      <w:lvl w:ilvl="0">
        <w:start w:val="7"/>
        <w:numFmt w:val="decimal"/>
        <w:lvlText w:val="2.2.%1 "/>
        <w:legacy w:legacy="1" w:legacySpace="0" w:legacyIndent="283"/>
        <w:lvlJc w:val="left"/>
        <w:pPr>
          <w:ind w:left="1020" w:hanging="283"/>
        </w:pPr>
        <w:rPr>
          <w:rFonts w:ascii="Times" w:hAnsi="Times" w:hint="default"/>
          <w:b/>
          <w:i w:val="0"/>
          <w:sz w:val="20"/>
          <w:u w:val="none"/>
        </w:rPr>
      </w:lvl>
    </w:lvlOverride>
  </w:num>
  <w:num w:numId="13">
    <w:abstractNumId w:val="8"/>
    <w:lvlOverride w:ilvl="0">
      <w:lvl w:ilvl="0">
        <w:start w:val="1"/>
        <w:numFmt w:val="decimal"/>
        <w:lvlText w:val="2.2.%1 "/>
        <w:legacy w:legacy="1" w:legacySpace="0" w:legacyIndent="283"/>
        <w:lvlJc w:val="left"/>
        <w:pPr>
          <w:ind w:left="1020" w:hanging="283"/>
        </w:pPr>
        <w:rPr>
          <w:rFonts w:ascii="Times" w:hAnsi="Times" w:hint="default"/>
          <w:b/>
          <w:i w:val="0"/>
          <w:sz w:val="20"/>
          <w:u w:val="none"/>
        </w:rPr>
      </w:lvl>
    </w:lvlOverride>
  </w:num>
  <w:num w:numId="14">
    <w:abstractNumId w:val="8"/>
    <w:lvlOverride w:ilvl="0">
      <w:lvl w:ilvl="0">
        <w:start w:val="7"/>
        <w:numFmt w:val="decimal"/>
        <w:lvlText w:val="2.2.%1 "/>
        <w:legacy w:legacy="1" w:legacySpace="0" w:legacyIndent="283"/>
        <w:lvlJc w:val="left"/>
        <w:pPr>
          <w:ind w:left="1020" w:hanging="283"/>
        </w:pPr>
        <w:rPr>
          <w:rFonts w:ascii="Times" w:hAnsi="Times" w:hint="default"/>
          <w:b/>
          <w:i w:val="0"/>
          <w:sz w:val="20"/>
          <w:u w:val="none"/>
        </w:rPr>
      </w:lvl>
    </w:lvlOverride>
  </w:num>
  <w:num w:numId="15">
    <w:abstractNumId w:val="5"/>
  </w:num>
  <w:num w:numId="16">
    <w:abstractNumId w:val="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F4"/>
    <w:rsid w:val="009233F4"/>
    <w:rsid w:val="00E3229D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33F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9233F4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9233F4"/>
    <w:pPr>
      <w:keepNext/>
      <w:jc w:val="both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ar"/>
    <w:qFormat/>
    <w:rsid w:val="009233F4"/>
    <w:pPr>
      <w:keepNext/>
      <w:widowControl w:val="0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9233F4"/>
    <w:pPr>
      <w:keepNext/>
      <w:widowControl w:val="0"/>
      <w:jc w:val="center"/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qFormat/>
    <w:rsid w:val="009233F4"/>
    <w:pPr>
      <w:keepNext/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9233F4"/>
    <w:pPr>
      <w:keepNext/>
      <w:widowControl w:val="0"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ar"/>
    <w:qFormat/>
    <w:rsid w:val="009233F4"/>
    <w:pPr>
      <w:keepNext/>
      <w:widowControl w:val="0"/>
      <w:jc w:val="center"/>
      <w:outlineLvl w:val="7"/>
    </w:pPr>
    <w:rPr>
      <w:b/>
      <w:i/>
    </w:rPr>
  </w:style>
  <w:style w:type="paragraph" w:styleId="Ttulo9">
    <w:name w:val="heading 9"/>
    <w:basedOn w:val="Normal"/>
    <w:next w:val="Normal"/>
    <w:link w:val="Ttulo9Car"/>
    <w:qFormat/>
    <w:rsid w:val="009233F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33F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233F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9233F4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233F4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233F4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9233F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233F4"/>
    <w:rPr>
      <w:rFonts w:ascii="Times New Roman" w:eastAsia="Times New Roman" w:hAnsi="Times New Roman" w:cs="Times New Roman"/>
      <w:b/>
      <w:color w:val="000000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233F4"/>
    <w:rPr>
      <w:rFonts w:ascii="Times New Roman" w:eastAsia="Times New Roman" w:hAnsi="Times New Roman" w:cs="Times New Roman"/>
      <w:b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233F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9233F4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33F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9233F4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9233F4"/>
    <w:rPr>
      <w:rFonts w:ascii="Times" w:hAnsi="Times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9233F4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233F4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233F4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character" w:styleId="Hipervnculo">
    <w:name w:val="Hyperlink"/>
    <w:basedOn w:val="Fuentedeprrafopredeter"/>
    <w:semiHidden/>
    <w:rsid w:val="009233F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9233F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atLeast"/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233F4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9233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233F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9233F4"/>
  </w:style>
  <w:style w:type="paragraph" w:styleId="Textoindependiente3">
    <w:name w:val="Body Text 3"/>
    <w:basedOn w:val="Normal"/>
    <w:link w:val="Textoindependiente3Car"/>
    <w:semiHidden/>
    <w:rsid w:val="009233F4"/>
    <w:pPr>
      <w:widowControl w:val="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233F4"/>
    <w:rPr>
      <w:rFonts w:ascii="Times New Roman" w:eastAsia="Times New Roman" w:hAnsi="Times New Roman" w:cs="Times New Roman"/>
      <w:sz w:val="16"/>
      <w:szCs w:val="20"/>
      <w:lang w:eastAsia="es-ES"/>
    </w:rPr>
  </w:style>
  <w:style w:type="character" w:styleId="Hipervnculovisitado">
    <w:name w:val="FollowedHyperlink"/>
    <w:basedOn w:val="Fuentedeprrafopredeter"/>
    <w:semiHidden/>
    <w:rsid w:val="009233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233F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9233F4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9233F4"/>
    <w:pPr>
      <w:keepNext/>
      <w:jc w:val="both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ar"/>
    <w:qFormat/>
    <w:rsid w:val="009233F4"/>
    <w:pPr>
      <w:keepNext/>
      <w:widowControl w:val="0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9233F4"/>
    <w:pPr>
      <w:keepNext/>
      <w:widowControl w:val="0"/>
      <w:jc w:val="center"/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qFormat/>
    <w:rsid w:val="009233F4"/>
    <w:pPr>
      <w:keepNext/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9233F4"/>
    <w:pPr>
      <w:keepNext/>
      <w:widowControl w:val="0"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ar"/>
    <w:qFormat/>
    <w:rsid w:val="009233F4"/>
    <w:pPr>
      <w:keepNext/>
      <w:widowControl w:val="0"/>
      <w:jc w:val="center"/>
      <w:outlineLvl w:val="7"/>
    </w:pPr>
    <w:rPr>
      <w:b/>
      <w:i/>
    </w:rPr>
  </w:style>
  <w:style w:type="paragraph" w:styleId="Ttulo9">
    <w:name w:val="heading 9"/>
    <w:basedOn w:val="Normal"/>
    <w:next w:val="Normal"/>
    <w:link w:val="Ttulo9Car"/>
    <w:qFormat/>
    <w:rsid w:val="009233F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33F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233F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9233F4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233F4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233F4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9233F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9233F4"/>
    <w:rPr>
      <w:rFonts w:ascii="Times New Roman" w:eastAsia="Times New Roman" w:hAnsi="Times New Roman" w:cs="Times New Roman"/>
      <w:b/>
      <w:color w:val="000000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9233F4"/>
    <w:rPr>
      <w:rFonts w:ascii="Times New Roman" w:eastAsia="Times New Roman" w:hAnsi="Times New Roman" w:cs="Times New Roman"/>
      <w:b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9233F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9233F4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233F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9233F4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9233F4"/>
    <w:rPr>
      <w:rFonts w:ascii="Times" w:hAnsi="Times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9233F4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233F4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233F4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character" w:styleId="Hipervnculo">
    <w:name w:val="Hyperlink"/>
    <w:basedOn w:val="Fuentedeprrafopredeter"/>
    <w:semiHidden/>
    <w:rsid w:val="009233F4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9233F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atLeast"/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233F4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9233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233F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semiHidden/>
    <w:rsid w:val="009233F4"/>
  </w:style>
  <w:style w:type="paragraph" w:styleId="Textoindependiente3">
    <w:name w:val="Body Text 3"/>
    <w:basedOn w:val="Normal"/>
    <w:link w:val="Textoindependiente3Car"/>
    <w:semiHidden/>
    <w:rsid w:val="009233F4"/>
    <w:pPr>
      <w:widowControl w:val="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233F4"/>
    <w:rPr>
      <w:rFonts w:ascii="Times New Roman" w:eastAsia="Times New Roman" w:hAnsi="Times New Roman" w:cs="Times New Roman"/>
      <w:sz w:val="16"/>
      <w:szCs w:val="20"/>
      <w:lang w:eastAsia="es-ES"/>
    </w:rPr>
  </w:style>
  <w:style w:type="character" w:styleId="Hipervnculovisitado">
    <w:name w:val="FollowedHyperlink"/>
    <w:basedOn w:val="Fuentedeprrafopredeter"/>
    <w:semiHidden/>
    <w:rsid w:val="009233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2053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2</cp:revision>
  <dcterms:created xsi:type="dcterms:W3CDTF">2011-09-20T19:00:00Z</dcterms:created>
  <dcterms:modified xsi:type="dcterms:W3CDTF">2011-10-04T18:40:00Z</dcterms:modified>
</cp:coreProperties>
</file>