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E70B" w14:textId="6CA9694D" w:rsidR="00981BB7" w:rsidRPr="006B2776" w:rsidRDefault="00613963" w:rsidP="00981BB7">
      <w:pPr>
        <w:autoSpaceDE w:val="0"/>
        <w:autoSpaceDN w:val="0"/>
        <w:adjustRightInd w:val="0"/>
        <w:spacing w:after="120"/>
        <w:jc w:val="center"/>
        <w:rPr>
          <w:rFonts w:ascii="Palatino Linotype" w:eastAsiaTheme="minorHAnsi" w:hAnsi="Palatino Linotype"/>
          <w:sz w:val="52"/>
          <w:szCs w:val="52"/>
          <w:lang w:val="es-AR" w:eastAsia="en-US"/>
        </w:rPr>
      </w:pPr>
      <w:r>
        <w:rPr>
          <w:rFonts w:ascii="Palatino" w:eastAsia="PMingLiU-ExtB" w:hAnsi="Palatino"/>
          <w:b/>
          <w:sz w:val="52"/>
          <w:szCs w:val="52"/>
        </w:rPr>
        <w:t>Escriba aquí el título de su artículo</w:t>
      </w:r>
    </w:p>
    <w:p w14:paraId="1BF87434" w14:textId="77777777" w:rsidR="00981BB7" w:rsidRPr="00981BB7" w:rsidRDefault="00981BB7" w:rsidP="00981BB7">
      <w:pPr>
        <w:pStyle w:val="HTMLconformatoprevio"/>
        <w:shd w:val="clear" w:color="auto" w:fill="FFFFFF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6ECC213A" w14:textId="5DEC0739" w:rsidR="003D7A7F" w:rsidRPr="00613963" w:rsidRDefault="00613963" w:rsidP="00981BB7">
      <w:pPr>
        <w:pStyle w:val="HTMLconformatoprevio"/>
        <w:shd w:val="clear" w:color="auto" w:fill="FFFFFF"/>
        <w:spacing w:after="12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13963">
        <w:rPr>
          <w:rFonts w:ascii="Times New Roman" w:hAnsi="Times New Roman" w:cs="Times New Roman"/>
          <w:sz w:val="22"/>
          <w:szCs w:val="22"/>
          <w:lang w:val="es-ES"/>
        </w:rPr>
        <w:t>Inserte el título de su art</w:t>
      </w:r>
      <w:r>
        <w:rPr>
          <w:rFonts w:ascii="Times New Roman" w:hAnsi="Times New Roman" w:cs="Times New Roman"/>
          <w:sz w:val="22"/>
          <w:szCs w:val="22"/>
          <w:lang w:val="es-ES"/>
        </w:rPr>
        <w:t>ículo en inglés</w:t>
      </w:r>
    </w:p>
    <w:p w14:paraId="4E799457" w14:textId="77777777" w:rsidR="00981BB7" w:rsidRDefault="00981BB7" w:rsidP="00A53BBC">
      <w:pPr>
        <w:autoSpaceDE w:val="0"/>
        <w:autoSpaceDN w:val="0"/>
        <w:adjustRightInd w:val="0"/>
        <w:spacing w:after="120"/>
        <w:rPr>
          <w:shd w:val="clear" w:color="auto" w:fill="FFFFFF"/>
        </w:rPr>
      </w:pPr>
    </w:p>
    <w:p w14:paraId="2C8CC970" w14:textId="1ACE6427" w:rsidR="00280589" w:rsidRPr="00280589" w:rsidRDefault="00280589" w:rsidP="00280589">
      <w:pPr>
        <w:autoSpaceDE w:val="0"/>
        <w:autoSpaceDN w:val="0"/>
        <w:adjustRightInd w:val="0"/>
        <w:spacing w:after="120"/>
        <w:jc w:val="center"/>
        <w:rPr>
          <w:color w:val="FF0000"/>
          <w:shd w:val="clear" w:color="auto" w:fill="FFFFFF"/>
        </w:rPr>
      </w:pPr>
      <w:r w:rsidRPr="00280589">
        <w:rPr>
          <w:color w:val="FF0000"/>
          <w:shd w:val="clear" w:color="auto" w:fill="FFFFFF"/>
        </w:rPr>
        <w:t>Recuerde: este manuscrito debe ir completamente anonimizado. Por favor, no incluya su nombre</w:t>
      </w:r>
      <w:bookmarkStart w:id="0" w:name="_GoBack"/>
      <w:bookmarkEnd w:id="0"/>
      <w:r w:rsidRPr="00280589">
        <w:rPr>
          <w:color w:val="FF0000"/>
          <w:shd w:val="clear" w:color="auto" w:fill="FFFFFF"/>
        </w:rPr>
        <w:t xml:space="preserve"> ni su filiación profesional</w:t>
      </w:r>
    </w:p>
    <w:p w14:paraId="20FCBC3E" w14:textId="77777777" w:rsidR="00280589" w:rsidRPr="003D7A7F" w:rsidRDefault="00280589" w:rsidP="00A53BBC">
      <w:pPr>
        <w:autoSpaceDE w:val="0"/>
        <w:autoSpaceDN w:val="0"/>
        <w:adjustRightInd w:val="0"/>
        <w:spacing w:after="120"/>
        <w:rPr>
          <w:shd w:val="clear" w:color="auto" w:fill="FFFFFF"/>
        </w:rPr>
      </w:pPr>
    </w:p>
    <w:p w14:paraId="293CBAA1" w14:textId="11C8A09D" w:rsidR="00981BB7" w:rsidRPr="006B2776" w:rsidRDefault="00000967" w:rsidP="00981BB7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000967">
        <w:rPr>
          <w:rFonts w:eastAsiaTheme="minorHAnsi"/>
          <w:smallCaps/>
          <w:lang w:eastAsia="en-US"/>
        </w:rPr>
        <w:t>Resumen</w:t>
      </w:r>
      <w:r w:rsidR="00981BB7" w:rsidRPr="006B2776">
        <w:rPr>
          <w:rFonts w:eastAsiaTheme="minorHAnsi"/>
          <w:lang w:eastAsia="en-US"/>
        </w:rPr>
        <w:t xml:space="preserve">: </w:t>
      </w:r>
      <w:r w:rsidR="00613963">
        <w:rPr>
          <w:rFonts w:eastAsiaTheme="minorHAnsi"/>
          <w:lang w:val="es-AR" w:eastAsia="en-US"/>
        </w:rPr>
        <w:t>Escriba en un máximo de 300 palabras</w:t>
      </w:r>
    </w:p>
    <w:p w14:paraId="19D070FB" w14:textId="4B2C750A" w:rsidR="00981BB7" w:rsidRPr="003E31D8" w:rsidRDefault="003E31D8" w:rsidP="00981BB7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eastAsia="en-US"/>
        </w:rPr>
      </w:pPr>
      <w:r w:rsidRPr="00000967">
        <w:rPr>
          <w:rFonts w:eastAsiaTheme="minorHAnsi"/>
          <w:smallCaps/>
          <w:lang w:eastAsia="en-US"/>
        </w:rPr>
        <w:t>P</w:t>
      </w:r>
      <w:r w:rsidR="00000967" w:rsidRPr="00000967">
        <w:rPr>
          <w:rFonts w:eastAsiaTheme="minorHAnsi"/>
          <w:smallCaps/>
          <w:lang w:eastAsia="en-US"/>
        </w:rPr>
        <w:t>alabras claves</w:t>
      </w:r>
      <w:r w:rsidR="00981BB7" w:rsidRPr="006B2776">
        <w:rPr>
          <w:rFonts w:eastAsiaTheme="minorHAnsi"/>
          <w:lang w:eastAsia="en-US"/>
        </w:rPr>
        <w:t xml:space="preserve">: </w:t>
      </w:r>
      <w:r w:rsidR="00613963">
        <w:rPr>
          <w:rFonts w:eastAsiaTheme="minorHAnsi"/>
          <w:lang w:eastAsia="en-US"/>
        </w:rPr>
        <w:t>Palabra_Clave1, Palabra_Clave2, Palabra_Clave3, etc.</w:t>
      </w:r>
    </w:p>
    <w:p w14:paraId="6C8B1364" w14:textId="77777777" w:rsidR="00981BB7" w:rsidRPr="006B2776" w:rsidRDefault="00981BB7" w:rsidP="00981BB7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6B2776">
        <w:rPr>
          <w:rFonts w:eastAsiaTheme="minorHAnsi"/>
          <w:lang w:eastAsia="en-US"/>
        </w:rPr>
        <w:tab/>
      </w:r>
    </w:p>
    <w:p w14:paraId="2E73C4BC" w14:textId="345E1F6C" w:rsidR="00896B11" w:rsidRPr="00613963" w:rsidRDefault="00000967" w:rsidP="00981BB7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proofErr w:type="spellStart"/>
      <w:r w:rsidRPr="00000967">
        <w:rPr>
          <w:smallCaps/>
        </w:rPr>
        <w:t>Abstract</w:t>
      </w:r>
      <w:proofErr w:type="spellEnd"/>
      <w:r w:rsidR="00981BB7" w:rsidRPr="00613963">
        <w:t xml:space="preserve">: </w:t>
      </w:r>
      <w:r w:rsidR="00613963" w:rsidRPr="00613963">
        <w:rPr>
          <w:shd w:val="clear" w:color="auto" w:fill="FFFFFF"/>
        </w:rPr>
        <w:t>Resumen del artículo en ingl</w:t>
      </w:r>
      <w:r w:rsidR="00613963">
        <w:rPr>
          <w:shd w:val="clear" w:color="auto" w:fill="FFFFFF"/>
        </w:rPr>
        <w:t xml:space="preserve">és. </w:t>
      </w:r>
    </w:p>
    <w:p w14:paraId="3D399998" w14:textId="7EC411B1" w:rsidR="00981BB7" w:rsidRPr="00613963" w:rsidRDefault="00000967" w:rsidP="00613963">
      <w:pPr>
        <w:autoSpaceDE w:val="0"/>
        <w:autoSpaceDN w:val="0"/>
        <w:adjustRightInd w:val="0"/>
        <w:spacing w:after="120"/>
        <w:jc w:val="both"/>
        <w:rPr>
          <w:rFonts w:eastAsiaTheme="minorHAnsi"/>
          <w:smallCaps/>
          <w:lang w:val="en-US" w:eastAsia="en-US"/>
        </w:rPr>
      </w:pPr>
      <w:r w:rsidRPr="00000967">
        <w:rPr>
          <w:smallCaps/>
          <w:shd w:val="clear" w:color="auto" w:fill="FFFFFF"/>
          <w:lang w:val="en-US"/>
        </w:rPr>
        <w:t>Keywords</w:t>
      </w:r>
      <w:r w:rsidR="00981BB7" w:rsidRPr="006B2776">
        <w:rPr>
          <w:shd w:val="clear" w:color="auto" w:fill="FFFFFF"/>
          <w:lang w:val="en-US"/>
        </w:rPr>
        <w:t xml:space="preserve">: </w:t>
      </w:r>
      <w:r w:rsidR="00613963">
        <w:rPr>
          <w:shd w:val="clear" w:color="auto" w:fill="FFFFFF"/>
          <w:lang w:val="en-US"/>
        </w:rPr>
        <w:t>Keyword1, Keyword2, Keyword3, etc.</w:t>
      </w:r>
    </w:p>
    <w:p w14:paraId="65C629EB" w14:textId="77777777" w:rsidR="00981BB7" w:rsidRPr="00613963" w:rsidRDefault="00981BB7" w:rsidP="00981BB7">
      <w:pPr>
        <w:autoSpaceDE w:val="0"/>
        <w:autoSpaceDN w:val="0"/>
        <w:adjustRightInd w:val="0"/>
        <w:spacing w:after="120"/>
        <w:jc w:val="both"/>
        <w:rPr>
          <w:rFonts w:eastAsiaTheme="minorHAnsi"/>
          <w:lang w:val="en-US" w:eastAsia="en-US"/>
        </w:rPr>
      </w:pPr>
    </w:p>
    <w:p w14:paraId="5F17BA1A" w14:textId="136477D2" w:rsidR="00613963" w:rsidRPr="00613963" w:rsidRDefault="00000967" w:rsidP="00F44ADA">
      <w:pPr>
        <w:spacing w:after="120"/>
        <w:jc w:val="both"/>
        <w:rPr>
          <w:rFonts w:eastAsiaTheme="minorHAnsi"/>
          <w:smallCaps/>
          <w:lang w:val="es-AR" w:eastAsia="en-US"/>
        </w:rPr>
      </w:pPr>
      <w:r>
        <w:rPr>
          <w:rFonts w:eastAsiaTheme="minorHAnsi"/>
          <w:smallCaps/>
          <w:lang w:val="es-AR" w:eastAsia="en-US"/>
        </w:rPr>
        <w:t>Título del nivel 1</w:t>
      </w:r>
    </w:p>
    <w:p w14:paraId="7E430412" w14:textId="55525FEE" w:rsidR="00981BB7" w:rsidRPr="006B2776" w:rsidRDefault="00613963" w:rsidP="00F44ADA">
      <w:pPr>
        <w:spacing w:after="120"/>
        <w:jc w:val="both"/>
      </w:pPr>
      <w:r>
        <w:rPr>
          <w:rFonts w:eastAsiaTheme="minorHAnsi"/>
          <w:lang w:val="es-AR" w:eastAsia="en-US"/>
        </w:rPr>
        <w:t>El primer párrafo del cuerpo del texto, cuando comienza un nuevo nivel no lleva ningún tipo de sangría.</w:t>
      </w:r>
    </w:p>
    <w:p w14:paraId="57EBB371" w14:textId="488284C4" w:rsidR="00981BB7" w:rsidRPr="006B2776" w:rsidRDefault="00613963" w:rsidP="00613963">
      <w:pPr>
        <w:spacing w:after="120"/>
        <w:ind w:firstLine="284"/>
        <w:jc w:val="both"/>
        <w:rPr>
          <w:lang w:val="es-AR"/>
        </w:rPr>
      </w:pPr>
      <w:r>
        <w:t xml:space="preserve">En cambio, el segundo y sucesivos tienen una sangría de 0,5 en la primera línea del texto. </w:t>
      </w:r>
    </w:p>
    <w:p w14:paraId="084FE89F" w14:textId="77777777" w:rsidR="00981BB7" w:rsidRPr="006B2776" w:rsidRDefault="00981BB7" w:rsidP="00981BB7">
      <w:pPr>
        <w:spacing w:after="120"/>
        <w:jc w:val="both"/>
      </w:pPr>
    </w:p>
    <w:p w14:paraId="7C9BC4D2" w14:textId="71DB8FB0" w:rsidR="00981BB7" w:rsidRPr="006B2776" w:rsidRDefault="00613963" w:rsidP="00981BB7">
      <w:pPr>
        <w:spacing w:after="120"/>
        <w:jc w:val="both"/>
        <w:rPr>
          <w:i/>
          <w:lang w:val="es-AR"/>
        </w:rPr>
      </w:pPr>
      <w:r>
        <w:rPr>
          <w:i/>
          <w:lang w:val="es-AR"/>
        </w:rPr>
        <w:t xml:space="preserve">Título del segundo nivel </w:t>
      </w:r>
    </w:p>
    <w:p w14:paraId="42CC7FE2" w14:textId="77777777" w:rsidR="00613963" w:rsidRPr="006B2776" w:rsidRDefault="00613963" w:rsidP="00613963">
      <w:pPr>
        <w:spacing w:after="120"/>
        <w:jc w:val="both"/>
      </w:pPr>
      <w:r>
        <w:rPr>
          <w:rFonts w:eastAsiaTheme="minorHAnsi"/>
          <w:lang w:val="es-AR" w:eastAsia="en-US"/>
        </w:rPr>
        <w:t>El primer párrafo del cuerpo del texto, cuando comienza un nuevo nivel no lleva ningún tipo de sangría.</w:t>
      </w:r>
    </w:p>
    <w:p w14:paraId="3A52D6BF" w14:textId="77777777" w:rsidR="00613963" w:rsidRDefault="00613963" w:rsidP="00613963">
      <w:pPr>
        <w:spacing w:after="120"/>
        <w:ind w:firstLine="284"/>
        <w:jc w:val="both"/>
      </w:pPr>
      <w:r>
        <w:t xml:space="preserve">En cambio, el segundo y sucesivos tienen una sangría de 0,5 en la primera línea del texto. </w:t>
      </w:r>
    </w:p>
    <w:p w14:paraId="73DBB323" w14:textId="77777777" w:rsidR="00613963" w:rsidRPr="006B2776" w:rsidRDefault="00613963" w:rsidP="00613963">
      <w:pPr>
        <w:spacing w:after="120"/>
        <w:ind w:firstLine="284"/>
        <w:jc w:val="both"/>
        <w:rPr>
          <w:lang w:val="es-AR"/>
        </w:rPr>
      </w:pPr>
    </w:p>
    <w:p w14:paraId="7D58894F" w14:textId="269EC383" w:rsidR="00613963" w:rsidRPr="00613963" w:rsidRDefault="00000967" w:rsidP="00613963">
      <w:pPr>
        <w:spacing w:after="120"/>
        <w:jc w:val="both"/>
        <w:rPr>
          <w:rFonts w:eastAsiaTheme="minorHAnsi"/>
          <w:smallCaps/>
          <w:lang w:val="es-AR" w:eastAsia="en-US"/>
        </w:rPr>
      </w:pPr>
      <w:r>
        <w:rPr>
          <w:rFonts w:eastAsiaTheme="minorHAnsi"/>
          <w:smallCaps/>
          <w:lang w:val="es-AR" w:eastAsia="en-US"/>
        </w:rPr>
        <w:t>Título del nivel 1</w:t>
      </w:r>
    </w:p>
    <w:p w14:paraId="489899BA" w14:textId="77777777" w:rsidR="00613963" w:rsidRPr="006B2776" w:rsidRDefault="00613963" w:rsidP="00613963">
      <w:pPr>
        <w:spacing w:after="120"/>
        <w:jc w:val="both"/>
      </w:pPr>
      <w:r>
        <w:rPr>
          <w:rFonts w:eastAsiaTheme="minorHAnsi"/>
          <w:lang w:val="es-AR" w:eastAsia="en-US"/>
        </w:rPr>
        <w:t>El primer párrafo del cuerpo del texto, cuando comienza un nuevo nivel no lleva ningún tipo de sangría.</w:t>
      </w:r>
    </w:p>
    <w:p w14:paraId="214E627E" w14:textId="77777777" w:rsidR="00613963" w:rsidRPr="006B2776" w:rsidRDefault="00613963" w:rsidP="00613963">
      <w:pPr>
        <w:spacing w:after="120"/>
        <w:ind w:firstLine="284"/>
        <w:jc w:val="both"/>
        <w:rPr>
          <w:lang w:val="es-AR"/>
        </w:rPr>
      </w:pPr>
      <w:r>
        <w:t xml:space="preserve">En cambio, el segundo y sucesivos tienen una sangría de 0,5 en la primera línea del texto. </w:t>
      </w:r>
    </w:p>
    <w:p w14:paraId="57254128" w14:textId="77777777" w:rsidR="00613963" w:rsidRPr="006B2776" w:rsidRDefault="00613963" w:rsidP="00613963">
      <w:pPr>
        <w:spacing w:after="120"/>
        <w:jc w:val="both"/>
      </w:pPr>
    </w:p>
    <w:p w14:paraId="4B417D03" w14:textId="77777777" w:rsidR="00613963" w:rsidRPr="006B2776" w:rsidRDefault="00613963" w:rsidP="00613963">
      <w:pPr>
        <w:spacing w:after="120"/>
        <w:jc w:val="both"/>
        <w:rPr>
          <w:i/>
          <w:lang w:val="es-AR"/>
        </w:rPr>
      </w:pPr>
      <w:r>
        <w:rPr>
          <w:i/>
          <w:lang w:val="es-AR"/>
        </w:rPr>
        <w:t xml:space="preserve">Título del segundo nivel </w:t>
      </w:r>
    </w:p>
    <w:p w14:paraId="2A65C1FE" w14:textId="77777777" w:rsidR="00613963" w:rsidRPr="006B2776" w:rsidRDefault="00613963" w:rsidP="00613963">
      <w:pPr>
        <w:spacing w:after="120"/>
        <w:jc w:val="both"/>
      </w:pPr>
      <w:r>
        <w:rPr>
          <w:rFonts w:eastAsiaTheme="minorHAnsi"/>
          <w:lang w:val="es-AR" w:eastAsia="en-US"/>
        </w:rPr>
        <w:t>El primer párrafo del cuerpo del texto, cuando comienza un nuevo nivel no lleva ningún tipo de sangría.</w:t>
      </w:r>
    </w:p>
    <w:p w14:paraId="4BB3B0E8" w14:textId="6DF0954E" w:rsidR="003D7A7F" w:rsidRDefault="00613963" w:rsidP="00981BB7">
      <w:pPr>
        <w:spacing w:after="120"/>
        <w:jc w:val="both"/>
      </w:pPr>
      <w:r>
        <w:t>En cambio, el segundo y sucesivos tienen una sangría de 0,5 en la primera línea del texto</w:t>
      </w:r>
    </w:p>
    <w:p w14:paraId="2EFB0128" w14:textId="77777777" w:rsidR="00280589" w:rsidRDefault="00280589" w:rsidP="00981BB7">
      <w:pPr>
        <w:spacing w:after="120"/>
        <w:jc w:val="both"/>
      </w:pPr>
    </w:p>
    <w:p w14:paraId="6E682628" w14:textId="77777777" w:rsidR="00280589" w:rsidRPr="00613963" w:rsidRDefault="00280589" w:rsidP="00981BB7">
      <w:pPr>
        <w:spacing w:after="120"/>
        <w:jc w:val="both"/>
      </w:pPr>
    </w:p>
    <w:p w14:paraId="47969829" w14:textId="4D17DFA7" w:rsidR="00981BB7" w:rsidRPr="00000967" w:rsidRDefault="00000967" w:rsidP="00981BB7">
      <w:pPr>
        <w:spacing w:after="120"/>
        <w:jc w:val="both"/>
        <w:rPr>
          <w:smallCaps/>
        </w:rPr>
      </w:pPr>
      <w:r w:rsidRPr="00000967">
        <w:rPr>
          <w:smallCaps/>
        </w:rPr>
        <w:t>Referencias</w:t>
      </w:r>
      <w:r w:rsidR="00613963" w:rsidRPr="00000967">
        <w:rPr>
          <w:rStyle w:val="Refdenotaalpie"/>
          <w:smallCaps/>
          <w:lang w:val="en-US"/>
        </w:rPr>
        <w:footnoteReference w:id="1"/>
      </w:r>
      <w:r w:rsidR="00981BB7" w:rsidRPr="00000967">
        <w:rPr>
          <w:smallCaps/>
        </w:rPr>
        <w:t xml:space="preserve"> </w:t>
      </w:r>
    </w:p>
    <w:p w14:paraId="6486F644" w14:textId="3F05D139" w:rsidR="00226611" w:rsidRPr="00226611" w:rsidRDefault="00226611" w:rsidP="00981BB7">
      <w:pPr>
        <w:spacing w:after="120"/>
        <w:jc w:val="both"/>
      </w:pPr>
      <w:r w:rsidRPr="00226611">
        <w:t>Las referencias deben ir en los siguientes formatos</w:t>
      </w:r>
      <w:r w:rsidR="00000967">
        <w:t xml:space="preserve"> según el tipo de publicación. Una vez adaptados a dicho formato todas las referencias se ordenarán por orden alfabético sin distinguir entre las distintas categorías</w:t>
      </w:r>
      <w:r w:rsidRPr="00226611">
        <w:t>:</w:t>
      </w:r>
    </w:p>
    <w:p w14:paraId="1840BC97" w14:textId="77777777" w:rsidR="00613963" w:rsidRPr="00000967" w:rsidRDefault="00613963" w:rsidP="00613963">
      <w:pPr>
        <w:pStyle w:val="NormalWeb"/>
        <w:jc w:val="both"/>
        <w:rPr>
          <w:lang w:val="es-ES"/>
        </w:rPr>
      </w:pPr>
      <w:r w:rsidRPr="00000967">
        <w:rPr>
          <w:rStyle w:val="Textoennegrita"/>
          <w:lang w:val="es-ES"/>
        </w:rPr>
        <w:t>Libros</w:t>
      </w:r>
    </w:p>
    <w:p w14:paraId="068F9B8B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r w:rsidRPr="00613963">
        <w:rPr>
          <w:lang w:val="en-US"/>
        </w:rPr>
        <w:t xml:space="preserve">Kaplan, Robert D. (2012), </w:t>
      </w:r>
      <w:proofErr w:type="gramStart"/>
      <w:r w:rsidRPr="00613963">
        <w:rPr>
          <w:rStyle w:val="nfasis"/>
          <w:lang w:val="en-US"/>
        </w:rPr>
        <w:t>The</w:t>
      </w:r>
      <w:proofErr w:type="gramEnd"/>
      <w:r w:rsidRPr="00613963">
        <w:rPr>
          <w:rStyle w:val="nfasis"/>
          <w:lang w:val="en-US"/>
        </w:rPr>
        <w:t xml:space="preserve"> Revenge of Geography</w:t>
      </w:r>
      <w:r w:rsidRPr="00613963">
        <w:rPr>
          <w:lang w:val="en-US"/>
        </w:rPr>
        <w:t>, New York: Random House.</w:t>
      </w:r>
    </w:p>
    <w:p w14:paraId="4E4ECDD4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Capítulos de libro</w:t>
      </w:r>
    </w:p>
    <w:p w14:paraId="403B2FE8" w14:textId="77777777" w:rsidR="00613963" w:rsidRDefault="00613963" w:rsidP="00613963">
      <w:pPr>
        <w:pStyle w:val="NormalWeb"/>
        <w:jc w:val="both"/>
      </w:pPr>
      <w:r>
        <w:t xml:space="preserve">Navarro, Diego (2013), "Inteligencia estratégica", en Jordán, Javier (Coord.), </w:t>
      </w:r>
      <w:r>
        <w:rPr>
          <w:rStyle w:val="nfasis"/>
        </w:rPr>
        <w:t>Manual de Estudios Estratégicos y Seguridad Internacional</w:t>
      </w:r>
      <w:r>
        <w:t>, Madrid: Plaza y Valdés, pp. 349-368.</w:t>
      </w:r>
    </w:p>
    <w:p w14:paraId="39A9B4B8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proofErr w:type="spellStart"/>
      <w:r w:rsidRPr="00613963">
        <w:rPr>
          <w:rStyle w:val="Textoennegrita"/>
          <w:lang w:val="en-US"/>
        </w:rPr>
        <w:t>Artículos</w:t>
      </w:r>
      <w:proofErr w:type="spellEnd"/>
      <w:r w:rsidRPr="00613963">
        <w:rPr>
          <w:rStyle w:val="Textoennegrita"/>
          <w:lang w:val="en-US"/>
        </w:rPr>
        <w:t xml:space="preserve"> de </w:t>
      </w:r>
      <w:proofErr w:type="spellStart"/>
      <w:r w:rsidRPr="00613963">
        <w:rPr>
          <w:rStyle w:val="Textoennegrita"/>
          <w:lang w:val="en-US"/>
        </w:rPr>
        <w:t>revistas</w:t>
      </w:r>
      <w:proofErr w:type="spellEnd"/>
      <w:r w:rsidRPr="00613963">
        <w:rPr>
          <w:rStyle w:val="Textoennegrita"/>
          <w:lang w:val="en-US"/>
        </w:rPr>
        <w:t xml:space="preserve"> </w:t>
      </w:r>
      <w:proofErr w:type="spellStart"/>
      <w:r w:rsidRPr="00613963">
        <w:rPr>
          <w:rStyle w:val="Textoennegrita"/>
          <w:lang w:val="en-US"/>
        </w:rPr>
        <w:t>académicas</w:t>
      </w:r>
      <w:proofErr w:type="spellEnd"/>
    </w:p>
    <w:p w14:paraId="3E86BDBA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proofErr w:type="spellStart"/>
      <w:r w:rsidRPr="00613963">
        <w:rPr>
          <w:lang w:val="en-US"/>
        </w:rPr>
        <w:t>DeVore</w:t>
      </w:r>
      <w:proofErr w:type="spellEnd"/>
      <w:r w:rsidRPr="00613963">
        <w:rPr>
          <w:lang w:val="en-US"/>
        </w:rPr>
        <w:t xml:space="preserve">, Marc. R. &amp; </w:t>
      </w:r>
      <w:proofErr w:type="spellStart"/>
      <w:r w:rsidRPr="00613963">
        <w:rPr>
          <w:lang w:val="en-US"/>
        </w:rPr>
        <w:t>Stähli</w:t>
      </w:r>
      <w:proofErr w:type="spellEnd"/>
      <w:r w:rsidRPr="00613963">
        <w:rPr>
          <w:lang w:val="en-US"/>
        </w:rPr>
        <w:t xml:space="preserve">, Armin B. (2015), "Explaining Hezbollah’s Effectiveness: Internal and External Determinants of the Rise of Violent Non-State Actors", </w:t>
      </w:r>
      <w:r w:rsidRPr="00613963">
        <w:rPr>
          <w:rStyle w:val="nfasis"/>
          <w:lang w:val="en-US"/>
        </w:rPr>
        <w:t>Terrorism and Political Violence</w:t>
      </w:r>
      <w:r w:rsidRPr="00613963">
        <w:rPr>
          <w:lang w:val="en-US"/>
        </w:rPr>
        <w:t>, Vol. 27, No. 2, pp. 331-357.</w:t>
      </w:r>
    </w:p>
    <w:p w14:paraId="52295BF7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Artículos y noticias de medios de comunicación</w:t>
      </w:r>
    </w:p>
    <w:p w14:paraId="17B9F2F1" w14:textId="77777777" w:rsidR="00613963" w:rsidRDefault="00613963" w:rsidP="00613963">
      <w:pPr>
        <w:pStyle w:val="NormalWeb"/>
        <w:jc w:val="both"/>
      </w:pPr>
      <w:r>
        <w:t xml:space="preserve">Irujo, </w:t>
      </w:r>
      <w:proofErr w:type="spellStart"/>
      <w:r>
        <w:t>Jose</w:t>
      </w:r>
      <w:proofErr w:type="spellEnd"/>
      <w:r>
        <w:t xml:space="preserve"> María (2012), “Guerreros de Ceuta”, </w:t>
      </w:r>
      <w:r>
        <w:rPr>
          <w:rStyle w:val="nfasis"/>
        </w:rPr>
        <w:t>El País</w:t>
      </w:r>
      <w:r>
        <w:t>, 24 de Junio.</w:t>
      </w:r>
    </w:p>
    <w:p w14:paraId="53A9C3B8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r w:rsidRPr="00613963">
        <w:rPr>
          <w:lang w:val="en-US"/>
        </w:rPr>
        <w:t xml:space="preserve">Reuters (2008), “Iraqis Convicted of </w:t>
      </w:r>
      <w:proofErr w:type="spellStart"/>
      <w:r w:rsidRPr="00613963">
        <w:rPr>
          <w:lang w:val="en-US"/>
        </w:rPr>
        <w:t>Assasination</w:t>
      </w:r>
      <w:proofErr w:type="spellEnd"/>
      <w:r w:rsidRPr="00613963">
        <w:rPr>
          <w:lang w:val="en-US"/>
        </w:rPr>
        <w:t xml:space="preserve"> Plot”, July 15.</w:t>
      </w:r>
    </w:p>
    <w:p w14:paraId="32C63E37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lastRenderedPageBreak/>
        <w:t>Trabajos de fin de grado o postgrado</w:t>
      </w:r>
    </w:p>
    <w:p w14:paraId="7A4D8BAF" w14:textId="77777777" w:rsidR="00613963" w:rsidRDefault="00613963" w:rsidP="00613963">
      <w:pPr>
        <w:pStyle w:val="NormalWeb"/>
        <w:jc w:val="both"/>
      </w:pPr>
      <w:r>
        <w:t xml:space="preserve">Ferro, Joaquín (2009), </w:t>
      </w:r>
      <w:r>
        <w:rPr>
          <w:rStyle w:val="nfasis"/>
        </w:rPr>
        <w:t>La autosuficiencia energética de Estados Unidos</w:t>
      </w:r>
      <w:r>
        <w:t>, Trabajo de Fin de Máster. Universidad de Granada.</w:t>
      </w:r>
    </w:p>
    <w:p w14:paraId="0BF4B243" w14:textId="77777777" w:rsidR="00613963" w:rsidRDefault="00613963" w:rsidP="00613963">
      <w:pPr>
        <w:pStyle w:val="NormalWeb"/>
        <w:jc w:val="both"/>
      </w:pPr>
      <w:r>
        <w:t xml:space="preserve">Conferencias o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presentados en eventos académicos</w:t>
      </w:r>
    </w:p>
    <w:p w14:paraId="45676737" w14:textId="77777777" w:rsidR="00613963" w:rsidRDefault="00613963" w:rsidP="00613963">
      <w:pPr>
        <w:pStyle w:val="NormalWeb"/>
        <w:jc w:val="both"/>
      </w:pPr>
      <w:r>
        <w:t>Calvo, José Luis (2013), "Fuerzas Armadas: sostenibilidad y rendimiento", Ponencia presentada en las V Jornadas sobre Política y Seguridad Internacional, Universidad de Granada, 22-23 octubre.</w:t>
      </w:r>
    </w:p>
    <w:p w14:paraId="2AEF8FA2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Análisis y reflexiones en blogs especializados</w:t>
      </w:r>
    </w:p>
    <w:p w14:paraId="43660DD9" w14:textId="77777777" w:rsidR="00613963" w:rsidRDefault="00613963" w:rsidP="00613963">
      <w:pPr>
        <w:pStyle w:val="NormalWeb"/>
        <w:jc w:val="both"/>
      </w:pPr>
      <w:r>
        <w:t xml:space="preserve">Núñez Villaverde, Jesús A. (2012), "El mal negocio de la guerra", </w:t>
      </w:r>
      <w:r>
        <w:rPr>
          <w:rStyle w:val="nfasis"/>
        </w:rPr>
        <w:t>Blog Elcano</w:t>
      </w:r>
      <w:r>
        <w:t xml:space="preserve">, 19 de junio: </w:t>
      </w:r>
      <w:hyperlink r:id="rId8" w:history="1">
        <w:r>
          <w:rPr>
            <w:rStyle w:val="Hipervnculo"/>
          </w:rPr>
          <w:t>http://blog.rielcano.org/el-mal-negocio-de-la-guerra/</w:t>
        </w:r>
      </w:hyperlink>
    </w:p>
    <w:p w14:paraId="3D2E090F" w14:textId="77777777" w:rsidR="00613963" w:rsidRDefault="00613963" w:rsidP="00613963">
      <w:pPr>
        <w:pStyle w:val="NormalWeb"/>
        <w:jc w:val="both"/>
      </w:pPr>
      <w:r>
        <w:t xml:space="preserve">Reinares, Fernando y García-Calvo, Carola (2014), "Siria, Irak y la movilización yihadista en España: reactivación de redes latentes y eclosión del </w:t>
      </w:r>
      <w:proofErr w:type="spellStart"/>
      <w:r>
        <w:t>yihadismo</w:t>
      </w:r>
      <w:proofErr w:type="spellEnd"/>
      <w:r>
        <w:t xml:space="preserve"> </w:t>
      </w:r>
      <w:proofErr w:type="spellStart"/>
      <w:r>
        <w:t>homegrown</w:t>
      </w:r>
      <w:proofErr w:type="spellEnd"/>
      <w:r>
        <w:t xml:space="preserve">", </w:t>
      </w:r>
      <w:r>
        <w:rPr>
          <w:rStyle w:val="nfasis"/>
        </w:rPr>
        <w:t>Análisis del Real Instituto Elcano</w:t>
      </w:r>
      <w:r>
        <w:t>, 50/2014.</w:t>
      </w:r>
    </w:p>
    <w:p w14:paraId="2A1E6C60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Comunicaciones personales por parte del autor</w:t>
      </w:r>
    </w:p>
    <w:p w14:paraId="6C30763D" w14:textId="77777777" w:rsidR="00613963" w:rsidRDefault="00613963" w:rsidP="00613963">
      <w:pPr>
        <w:pStyle w:val="NormalWeb"/>
        <w:jc w:val="both"/>
      </w:pPr>
      <w:r>
        <w:t xml:space="preserve">No se incluirá en las Bibliografía el contenido de conversaciones personales o telefónicas, cartas, e-mails, tweets, SMS, o mensajes de WhatsApp, </w:t>
      </w:r>
      <w:proofErr w:type="spellStart"/>
      <w:r>
        <w:t>Telegram</w:t>
      </w:r>
      <w:proofErr w:type="spellEnd"/>
      <w:r>
        <w:t xml:space="preserve"> u otros. Sólo se incluirán en nota al pie:</w:t>
      </w:r>
    </w:p>
    <w:p w14:paraId="1A34FA6C" w14:textId="77777777" w:rsidR="00613963" w:rsidRDefault="00613963" w:rsidP="00613963">
      <w:pPr>
        <w:pStyle w:val="NormalWeb"/>
        <w:jc w:val="both"/>
      </w:pPr>
      <w:r>
        <w:t>Pierre Murray, e-mail al autor, 24 julio 2002.</w:t>
      </w:r>
    </w:p>
    <w:p w14:paraId="7D77C93D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Legislación</w:t>
      </w:r>
    </w:p>
    <w:p w14:paraId="7770185A" w14:textId="77777777" w:rsidR="00613963" w:rsidRDefault="00613963" w:rsidP="00613963">
      <w:pPr>
        <w:pStyle w:val="NormalWeb"/>
        <w:jc w:val="both"/>
      </w:pPr>
      <w:r>
        <w:t>Se colocará el nombre de la legislación como autor. Si se menciona varias veces la misma legislación, a partir de la segunda vez se usarán siglas en lugar del nombre completo. Por ejemplo, “(Constitución Española -CE- 1978, artículo 15, Sección 1ª, Capítulo segundo, Título I)”; en las siguientes citas aparecerá “(CE 1978, artículo 18, Sección 1ª, Capítulo segundo, Título I)”.</w:t>
      </w:r>
    </w:p>
    <w:p w14:paraId="226323D1" w14:textId="77777777" w:rsidR="00613963" w:rsidRDefault="00613963" w:rsidP="00613963">
      <w:pPr>
        <w:pStyle w:val="NormalWeb"/>
        <w:jc w:val="both"/>
      </w:pPr>
      <w:r>
        <w:rPr>
          <w:rStyle w:val="Textoennegrita"/>
        </w:rPr>
        <w:t>Jurisprudencia</w:t>
      </w:r>
    </w:p>
    <w:p w14:paraId="5061CAC9" w14:textId="77777777" w:rsidR="00613963" w:rsidRDefault="00613963" w:rsidP="00613963">
      <w:pPr>
        <w:pStyle w:val="NormalWeb"/>
        <w:jc w:val="both"/>
      </w:pPr>
      <w:r>
        <w:t>Cita en el texto: (Tesis S3EL 040/99)</w:t>
      </w:r>
    </w:p>
    <w:p w14:paraId="52AD7442" w14:textId="77777777" w:rsidR="00613963" w:rsidRDefault="00613963" w:rsidP="00613963">
      <w:pPr>
        <w:pStyle w:val="NormalWeb"/>
        <w:jc w:val="both"/>
      </w:pPr>
      <w:r>
        <w:t>Referencias en bibliografía:</w:t>
      </w:r>
    </w:p>
    <w:p w14:paraId="6351EFC0" w14:textId="77777777" w:rsidR="00613963" w:rsidRDefault="00613963" w:rsidP="00613963">
      <w:pPr>
        <w:pStyle w:val="NormalWeb"/>
        <w:jc w:val="both"/>
      </w:pPr>
      <w:r>
        <w:t>Tesis -S3EL 040/99. PROCESO ELECTORAL. SUPUESTO EN QUE EL PRINCIPIO DE DEFINITIVIDAD DE CADA UNA DE SUS ETAPAS PROPICIA LA IRREPARABILIDAD DE LAS PRETENDIDAS VIOLACIONES COMETIDAS EN UNA ETAPA ANTERIOR (Legislación de Tamaulipas y similares). Compilación Oficial de Jurisprudencia y Tesis Relevantes 1997-2005, 808-809.</w:t>
      </w:r>
    </w:p>
    <w:p w14:paraId="5967888B" w14:textId="77777777" w:rsidR="00613963" w:rsidRDefault="00613963" w:rsidP="00226611">
      <w:pPr>
        <w:pStyle w:val="NormalWeb"/>
        <w:ind w:firstLine="284"/>
        <w:jc w:val="both"/>
      </w:pPr>
      <w:r>
        <w:lastRenderedPageBreak/>
        <w:t xml:space="preserve">Por último, las referencias </w:t>
      </w:r>
      <w:r>
        <w:rPr>
          <w:rStyle w:val="Textoennegrita"/>
        </w:rPr>
        <w:t>se ordenarán alfabéticamente</w:t>
      </w:r>
      <w:r>
        <w:t>. Cuando se incluyan varias obras del mismo autor, a partir de la segunda el nombre de éste se sustituirá por un guión y se ordenarán por año de publicación (si coincide el año de publicación, se incluirán sucesivamente las letras de alfabeto para diferenciarlas, comenzando por la “a”):</w:t>
      </w:r>
    </w:p>
    <w:p w14:paraId="73EE16A2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proofErr w:type="spellStart"/>
      <w:r w:rsidRPr="00613963">
        <w:rPr>
          <w:lang w:val="en-US"/>
        </w:rPr>
        <w:t>Prensky</w:t>
      </w:r>
      <w:proofErr w:type="spellEnd"/>
      <w:r w:rsidRPr="00613963">
        <w:rPr>
          <w:lang w:val="en-US"/>
        </w:rPr>
        <w:t xml:space="preserve">, Marc (2001a), "Digital natives, digital immigrants", </w:t>
      </w:r>
      <w:r w:rsidRPr="00613963">
        <w:rPr>
          <w:rStyle w:val="nfasis"/>
          <w:lang w:val="en-US"/>
        </w:rPr>
        <w:t>On the Horizon</w:t>
      </w:r>
      <w:r w:rsidRPr="00613963">
        <w:rPr>
          <w:lang w:val="en-US"/>
        </w:rPr>
        <w:t>, V. 9, No. 5, pp. 1-6.</w:t>
      </w:r>
    </w:p>
    <w:p w14:paraId="0FE73266" w14:textId="77777777" w:rsidR="00613963" w:rsidRPr="00613963" w:rsidRDefault="00613963" w:rsidP="00613963">
      <w:pPr>
        <w:pStyle w:val="NormalWeb"/>
        <w:jc w:val="both"/>
        <w:rPr>
          <w:lang w:val="en-US"/>
        </w:rPr>
      </w:pPr>
      <w:r w:rsidRPr="00613963">
        <w:rPr>
          <w:lang w:val="en-US"/>
        </w:rPr>
        <w:t>- (2001b), "Digital natives, digital immigrants, part II: Do they really think differently?</w:t>
      </w:r>
      <w:proofErr w:type="gramStart"/>
      <w:r w:rsidRPr="00613963">
        <w:rPr>
          <w:lang w:val="en-US"/>
        </w:rPr>
        <w:t>",</w:t>
      </w:r>
      <w:proofErr w:type="gramEnd"/>
      <w:r w:rsidRPr="00613963">
        <w:rPr>
          <w:lang w:val="en-US"/>
        </w:rPr>
        <w:t xml:space="preserve"> </w:t>
      </w:r>
      <w:r w:rsidRPr="00613963">
        <w:rPr>
          <w:rStyle w:val="nfasis"/>
          <w:lang w:val="en-US"/>
        </w:rPr>
        <w:t>On the Horizon</w:t>
      </w:r>
      <w:r w:rsidRPr="00613963">
        <w:rPr>
          <w:lang w:val="en-US"/>
        </w:rPr>
        <w:t>, Vol. 9, No. 6, pp. 1-6.</w:t>
      </w:r>
    </w:p>
    <w:p w14:paraId="1156F2AD" w14:textId="08F0F390" w:rsidR="00613963" w:rsidRDefault="00613963" w:rsidP="002517A2">
      <w:pPr>
        <w:spacing w:after="120"/>
        <w:jc w:val="both"/>
        <w:rPr>
          <w:lang w:val="en-US"/>
        </w:rPr>
      </w:pPr>
    </w:p>
    <w:p w14:paraId="5B288CA2" w14:textId="77777777" w:rsidR="00613963" w:rsidRPr="00613963" w:rsidRDefault="00613963" w:rsidP="00613963">
      <w:pPr>
        <w:rPr>
          <w:lang w:val="en-US"/>
        </w:rPr>
      </w:pPr>
    </w:p>
    <w:p w14:paraId="704E0734" w14:textId="77777777" w:rsidR="00613963" w:rsidRPr="00613963" w:rsidRDefault="00613963" w:rsidP="00613963">
      <w:pPr>
        <w:rPr>
          <w:lang w:val="en-US"/>
        </w:rPr>
      </w:pPr>
    </w:p>
    <w:p w14:paraId="074E9DFE" w14:textId="77777777" w:rsidR="00613963" w:rsidRPr="00613963" w:rsidRDefault="00613963" w:rsidP="00613963">
      <w:pPr>
        <w:rPr>
          <w:lang w:val="en-US"/>
        </w:rPr>
      </w:pPr>
    </w:p>
    <w:p w14:paraId="6EC73813" w14:textId="77777777" w:rsidR="00613963" w:rsidRPr="00613963" w:rsidRDefault="00613963" w:rsidP="00613963">
      <w:pPr>
        <w:rPr>
          <w:lang w:val="en-US"/>
        </w:rPr>
      </w:pPr>
    </w:p>
    <w:p w14:paraId="1FFCB3DE" w14:textId="77777777" w:rsidR="00613963" w:rsidRPr="00613963" w:rsidRDefault="00613963" w:rsidP="00613963">
      <w:pPr>
        <w:rPr>
          <w:lang w:val="en-US"/>
        </w:rPr>
      </w:pPr>
    </w:p>
    <w:p w14:paraId="1EBC90BD" w14:textId="3C8D21E4" w:rsidR="00613963" w:rsidRDefault="00613963" w:rsidP="00613963">
      <w:pPr>
        <w:rPr>
          <w:lang w:val="en-US"/>
        </w:rPr>
      </w:pPr>
    </w:p>
    <w:p w14:paraId="0D5A044B" w14:textId="51636A44" w:rsidR="00FA2D82" w:rsidRPr="00613963" w:rsidRDefault="00613963" w:rsidP="00613963">
      <w:pPr>
        <w:tabs>
          <w:tab w:val="left" w:pos="2265"/>
        </w:tabs>
        <w:rPr>
          <w:lang w:val="en-US"/>
        </w:rPr>
      </w:pPr>
      <w:r>
        <w:rPr>
          <w:lang w:val="en-US"/>
        </w:rPr>
        <w:tab/>
      </w:r>
    </w:p>
    <w:sectPr w:rsidR="00FA2D82" w:rsidRPr="00613963" w:rsidSect="002A0C6E">
      <w:headerReference w:type="default" r:id="rId9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EC04F" w16cid:durableId="1F85B3BD"/>
  <w16cid:commentId w16cid:paraId="5AFE02C3" w16cid:durableId="1F85B454"/>
  <w16cid:commentId w16cid:paraId="26A479FB" w16cid:durableId="1F85B01B"/>
  <w16cid:commentId w16cid:paraId="03A7C953" w16cid:durableId="1F85B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A8F3" w14:textId="77777777" w:rsidR="00A429FA" w:rsidRDefault="00A429FA" w:rsidP="00DD0866">
      <w:r>
        <w:separator/>
      </w:r>
    </w:p>
  </w:endnote>
  <w:endnote w:type="continuationSeparator" w:id="0">
    <w:p w14:paraId="4D671A35" w14:textId="77777777" w:rsidR="00A429FA" w:rsidRDefault="00A429FA" w:rsidP="00D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249B" w14:textId="77777777" w:rsidR="00A429FA" w:rsidRDefault="00A429FA" w:rsidP="00DD0866">
      <w:r>
        <w:separator/>
      </w:r>
    </w:p>
  </w:footnote>
  <w:footnote w:type="continuationSeparator" w:id="0">
    <w:p w14:paraId="3C1BE727" w14:textId="77777777" w:rsidR="00A429FA" w:rsidRDefault="00A429FA" w:rsidP="00DD0866">
      <w:r>
        <w:continuationSeparator/>
      </w:r>
    </w:p>
  </w:footnote>
  <w:footnote w:id="1">
    <w:p w14:paraId="080F846C" w14:textId="77777777" w:rsidR="00613963" w:rsidRDefault="00613963" w:rsidP="00613963">
      <w:pPr>
        <w:pStyle w:val="NormalWeb"/>
        <w:jc w:val="both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613963">
        <w:rPr>
          <w:sz w:val="20"/>
        </w:rPr>
        <w:t xml:space="preserve">Recuerde que el modo de citar en el texto es el siguiente: </w:t>
      </w:r>
    </w:p>
    <w:p w14:paraId="3E6E1EFE" w14:textId="09ABE4F9" w:rsidR="00613963" w:rsidRPr="00613963" w:rsidRDefault="00613963" w:rsidP="00613963">
      <w:pPr>
        <w:pStyle w:val="NormalWeb"/>
        <w:jc w:val="both"/>
        <w:rPr>
          <w:sz w:val="20"/>
          <w:lang w:val="es-ES" w:eastAsia="es-ES"/>
        </w:rPr>
      </w:pPr>
      <w:r w:rsidRPr="00613963">
        <w:rPr>
          <w:sz w:val="20"/>
        </w:rPr>
        <w:t>·</w:t>
      </w:r>
      <w:r w:rsidR="00000967">
        <w:rPr>
          <w:sz w:val="20"/>
        </w:rPr>
        <w:t>(</w:t>
      </w:r>
      <w:proofErr w:type="spellStart"/>
      <w:r w:rsidRPr="00613963">
        <w:rPr>
          <w:sz w:val="20"/>
          <w:lang w:val="es-ES" w:eastAsia="es-ES"/>
        </w:rPr>
        <w:t>Herz</w:t>
      </w:r>
      <w:proofErr w:type="spellEnd"/>
      <w:r w:rsidRPr="00613963">
        <w:rPr>
          <w:sz w:val="20"/>
          <w:lang w:val="es-ES" w:eastAsia="es-ES"/>
        </w:rPr>
        <w:t>, 2010)</w:t>
      </w:r>
    </w:p>
    <w:p w14:paraId="21A7CADF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</w:t>
      </w:r>
      <w:proofErr w:type="spellStart"/>
      <w:r w:rsidRPr="00613963">
        <w:rPr>
          <w:sz w:val="20"/>
        </w:rPr>
        <w:t>Herz</w:t>
      </w:r>
      <w:proofErr w:type="spellEnd"/>
      <w:r w:rsidRPr="00613963">
        <w:rPr>
          <w:sz w:val="20"/>
        </w:rPr>
        <w:t>, 2010: 50)</w:t>
      </w:r>
    </w:p>
    <w:p w14:paraId="3D1E8343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</w:t>
      </w:r>
      <w:proofErr w:type="spellStart"/>
      <w:r w:rsidRPr="00613963">
        <w:rPr>
          <w:sz w:val="20"/>
        </w:rPr>
        <w:t>Herz</w:t>
      </w:r>
      <w:proofErr w:type="spellEnd"/>
      <w:r w:rsidRPr="00613963">
        <w:rPr>
          <w:sz w:val="20"/>
        </w:rPr>
        <w:t>, 2010: 50-150)</w:t>
      </w:r>
    </w:p>
    <w:p w14:paraId="569E684C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(CESEDEN, 2008: 23) para iniciales de instituciones</w:t>
      </w:r>
    </w:p>
    <w:p w14:paraId="161405FA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</w:t>
      </w:r>
      <w:proofErr w:type="spellStart"/>
      <w:r w:rsidRPr="00613963">
        <w:rPr>
          <w:sz w:val="20"/>
        </w:rPr>
        <w:t>Herz</w:t>
      </w:r>
      <w:proofErr w:type="spellEnd"/>
      <w:r w:rsidRPr="00613963">
        <w:rPr>
          <w:sz w:val="20"/>
        </w:rPr>
        <w:t>, 2010a; 2010b) en caso de que se haga referencia a dos obras del mismo autor publicadas el mismo año</w:t>
      </w:r>
    </w:p>
    <w:p w14:paraId="1935FD8C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</w:t>
      </w:r>
      <w:proofErr w:type="spellStart"/>
      <w:r w:rsidRPr="00613963">
        <w:rPr>
          <w:sz w:val="20"/>
        </w:rPr>
        <w:t>Dyson</w:t>
      </w:r>
      <w:proofErr w:type="spellEnd"/>
      <w:r w:rsidRPr="00613963">
        <w:rPr>
          <w:sz w:val="20"/>
        </w:rPr>
        <w:t xml:space="preserve"> &amp; </w:t>
      </w:r>
      <w:proofErr w:type="spellStart"/>
      <w:r w:rsidRPr="00613963">
        <w:rPr>
          <w:sz w:val="20"/>
        </w:rPr>
        <w:t>Konstadinides</w:t>
      </w:r>
      <w:proofErr w:type="spellEnd"/>
      <w:r w:rsidRPr="00613963">
        <w:rPr>
          <w:sz w:val="20"/>
        </w:rPr>
        <w:t>, 2013: 54). El empleo de ‘y’ o ‘&amp;’ dependerá de si la fuente se encuentra en español o inglés.</w:t>
      </w:r>
    </w:p>
    <w:p w14:paraId="474CA067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· (</w:t>
      </w:r>
      <w:proofErr w:type="spellStart"/>
      <w:r w:rsidRPr="00613963">
        <w:rPr>
          <w:sz w:val="20"/>
        </w:rPr>
        <w:t>Dyson</w:t>
      </w:r>
      <w:proofErr w:type="spellEnd"/>
      <w:r w:rsidRPr="00613963">
        <w:rPr>
          <w:sz w:val="20"/>
        </w:rPr>
        <w:t xml:space="preserve"> et al. 2014: 55-59) cuando se trate de más de tres autores.</w:t>
      </w:r>
    </w:p>
    <w:p w14:paraId="61B26044" w14:textId="77777777" w:rsidR="00613963" w:rsidRPr="00613963" w:rsidRDefault="00613963" w:rsidP="00613963">
      <w:pPr>
        <w:spacing w:before="100" w:beforeAutospacing="1" w:after="100" w:afterAutospacing="1"/>
        <w:jc w:val="both"/>
        <w:rPr>
          <w:sz w:val="20"/>
        </w:rPr>
      </w:pPr>
      <w:r w:rsidRPr="00613963">
        <w:rPr>
          <w:sz w:val="20"/>
        </w:rPr>
        <w:t> </w:t>
      </w:r>
    </w:p>
    <w:p w14:paraId="6D371E25" w14:textId="54513BDE" w:rsidR="00613963" w:rsidRPr="00613963" w:rsidRDefault="00613963" w:rsidP="00613963">
      <w:pPr>
        <w:pStyle w:val="Textonotapie"/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478E" w14:textId="77777777" w:rsidR="008E0F06" w:rsidRDefault="00A429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9F"/>
    <w:multiLevelType w:val="multilevel"/>
    <w:tmpl w:val="963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57171"/>
    <w:multiLevelType w:val="multilevel"/>
    <w:tmpl w:val="82CC29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1C1073A"/>
    <w:multiLevelType w:val="multilevel"/>
    <w:tmpl w:val="F73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6"/>
    <w:rsid w:val="00000967"/>
    <w:rsid w:val="00017B52"/>
    <w:rsid w:val="00040503"/>
    <w:rsid w:val="0004065C"/>
    <w:rsid w:val="00057AA1"/>
    <w:rsid w:val="00071142"/>
    <w:rsid w:val="000820EE"/>
    <w:rsid w:val="00085C5C"/>
    <w:rsid w:val="00090407"/>
    <w:rsid w:val="000A43DC"/>
    <w:rsid w:val="000C0204"/>
    <w:rsid w:val="000C03ED"/>
    <w:rsid w:val="000C163F"/>
    <w:rsid w:val="000C3383"/>
    <w:rsid w:val="00110143"/>
    <w:rsid w:val="00126698"/>
    <w:rsid w:val="00157931"/>
    <w:rsid w:val="00161F21"/>
    <w:rsid w:val="001634C6"/>
    <w:rsid w:val="00163F4F"/>
    <w:rsid w:val="00176F0C"/>
    <w:rsid w:val="00196E1F"/>
    <w:rsid w:val="001A0606"/>
    <w:rsid w:val="001A272F"/>
    <w:rsid w:val="001B21B5"/>
    <w:rsid w:val="001B5F4D"/>
    <w:rsid w:val="001B7EE2"/>
    <w:rsid w:val="001D05EE"/>
    <w:rsid w:val="001D68EA"/>
    <w:rsid w:val="00204535"/>
    <w:rsid w:val="00204D65"/>
    <w:rsid w:val="002119A9"/>
    <w:rsid w:val="00214A57"/>
    <w:rsid w:val="00226611"/>
    <w:rsid w:val="002309BE"/>
    <w:rsid w:val="00234EC3"/>
    <w:rsid w:val="0023536F"/>
    <w:rsid w:val="0023645B"/>
    <w:rsid w:val="00241BE8"/>
    <w:rsid w:val="002517A2"/>
    <w:rsid w:val="00280589"/>
    <w:rsid w:val="00295863"/>
    <w:rsid w:val="00300290"/>
    <w:rsid w:val="00311F4A"/>
    <w:rsid w:val="003209EC"/>
    <w:rsid w:val="0035392D"/>
    <w:rsid w:val="0035671D"/>
    <w:rsid w:val="00357947"/>
    <w:rsid w:val="00371211"/>
    <w:rsid w:val="003869F6"/>
    <w:rsid w:val="00392C91"/>
    <w:rsid w:val="00394C8A"/>
    <w:rsid w:val="003A5AA6"/>
    <w:rsid w:val="003C1222"/>
    <w:rsid w:val="003D4E71"/>
    <w:rsid w:val="003D7A7F"/>
    <w:rsid w:val="003E31D8"/>
    <w:rsid w:val="003E55A7"/>
    <w:rsid w:val="003F0C75"/>
    <w:rsid w:val="00416BF0"/>
    <w:rsid w:val="00426ED6"/>
    <w:rsid w:val="00430A10"/>
    <w:rsid w:val="004431A5"/>
    <w:rsid w:val="00447550"/>
    <w:rsid w:val="00454C08"/>
    <w:rsid w:val="004A2F5A"/>
    <w:rsid w:val="004B1BC9"/>
    <w:rsid w:val="004C789B"/>
    <w:rsid w:val="004D46FC"/>
    <w:rsid w:val="004D627D"/>
    <w:rsid w:val="0053194A"/>
    <w:rsid w:val="005535FA"/>
    <w:rsid w:val="00596BB0"/>
    <w:rsid w:val="005A4425"/>
    <w:rsid w:val="005B2DFF"/>
    <w:rsid w:val="00613963"/>
    <w:rsid w:val="0061749A"/>
    <w:rsid w:val="00621866"/>
    <w:rsid w:val="00646FC7"/>
    <w:rsid w:val="0065560C"/>
    <w:rsid w:val="006603FA"/>
    <w:rsid w:val="00660DD7"/>
    <w:rsid w:val="006647C7"/>
    <w:rsid w:val="006656A0"/>
    <w:rsid w:val="0067518E"/>
    <w:rsid w:val="00677E79"/>
    <w:rsid w:val="00680D95"/>
    <w:rsid w:val="00690586"/>
    <w:rsid w:val="006909BF"/>
    <w:rsid w:val="00692216"/>
    <w:rsid w:val="006D2EDC"/>
    <w:rsid w:val="006F35B6"/>
    <w:rsid w:val="006F6081"/>
    <w:rsid w:val="007202A9"/>
    <w:rsid w:val="00737054"/>
    <w:rsid w:val="00755FF5"/>
    <w:rsid w:val="00791CC3"/>
    <w:rsid w:val="007B77F2"/>
    <w:rsid w:val="007C4622"/>
    <w:rsid w:val="00815A20"/>
    <w:rsid w:val="00824369"/>
    <w:rsid w:val="0082636D"/>
    <w:rsid w:val="00875A80"/>
    <w:rsid w:val="00896B11"/>
    <w:rsid w:val="00897FD8"/>
    <w:rsid w:val="008A6488"/>
    <w:rsid w:val="008F572B"/>
    <w:rsid w:val="00911106"/>
    <w:rsid w:val="00934FB4"/>
    <w:rsid w:val="009354BD"/>
    <w:rsid w:val="009609F9"/>
    <w:rsid w:val="0097300C"/>
    <w:rsid w:val="00981BB7"/>
    <w:rsid w:val="0099645A"/>
    <w:rsid w:val="009D3BA4"/>
    <w:rsid w:val="009E5E25"/>
    <w:rsid w:val="009F350B"/>
    <w:rsid w:val="00A01A6C"/>
    <w:rsid w:val="00A308A6"/>
    <w:rsid w:val="00A429FA"/>
    <w:rsid w:val="00A53BBC"/>
    <w:rsid w:val="00A62EEC"/>
    <w:rsid w:val="00AA7BC0"/>
    <w:rsid w:val="00AD7048"/>
    <w:rsid w:val="00AE6939"/>
    <w:rsid w:val="00B074B2"/>
    <w:rsid w:val="00B319E2"/>
    <w:rsid w:val="00B76246"/>
    <w:rsid w:val="00B82A67"/>
    <w:rsid w:val="00BB6B6A"/>
    <w:rsid w:val="00BC07B7"/>
    <w:rsid w:val="00BC6165"/>
    <w:rsid w:val="00BD2F06"/>
    <w:rsid w:val="00BE0CA8"/>
    <w:rsid w:val="00BF617F"/>
    <w:rsid w:val="00BF714A"/>
    <w:rsid w:val="00C00062"/>
    <w:rsid w:val="00C00EDA"/>
    <w:rsid w:val="00C06B7B"/>
    <w:rsid w:val="00C15638"/>
    <w:rsid w:val="00C32FBD"/>
    <w:rsid w:val="00C35411"/>
    <w:rsid w:val="00C40D84"/>
    <w:rsid w:val="00C645CF"/>
    <w:rsid w:val="00CA5BA4"/>
    <w:rsid w:val="00CB51B3"/>
    <w:rsid w:val="00CB64EC"/>
    <w:rsid w:val="00CC1B4D"/>
    <w:rsid w:val="00CC46D5"/>
    <w:rsid w:val="00CE161F"/>
    <w:rsid w:val="00CE2846"/>
    <w:rsid w:val="00CF4D91"/>
    <w:rsid w:val="00D00896"/>
    <w:rsid w:val="00D346F0"/>
    <w:rsid w:val="00D54577"/>
    <w:rsid w:val="00D54B25"/>
    <w:rsid w:val="00D57BB5"/>
    <w:rsid w:val="00D604B3"/>
    <w:rsid w:val="00D61997"/>
    <w:rsid w:val="00D8413E"/>
    <w:rsid w:val="00D8415B"/>
    <w:rsid w:val="00D862DA"/>
    <w:rsid w:val="00D87284"/>
    <w:rsid w:val="00D91B40"/>
    <w:rsid w:val="00D968A9"/>
    <w:rsid w:val="00DA2403"/>
    <w:rsid w:val="00DB7F7A"/>
    <w:rsid w:val="00DC26A6"/>
    <w:rsid w:val="00DD013A"/>
    <w:rsid w:val="00DD0866"/>
    <w:rsid w:val="00DE7437"/>
    <w:rsid w:val="00DF77FA"/>
    <w:rsid w:val="00E13018"/>
    <w:rsid w:val="00E272E5"/>
    <w:rsid w:val="00E33058"/>
    <w:rsid w:val="00E33B01"/>
    <w:rsid w:val="00E40AB3"/>
    <w:rsid w:val="00E55FE9"/>
    <w:rsid w:val="00E80DA5"/>
    <w:rsid w:val="00E91B5F"/>
    <w:rsid w:val="00E93E2E"/>
    <w:rsid w:val="00EC28B1"/>
    <w:rsid w:val="00EF5F31"/>
    <w:rsid w:val="00F44ADA"/>
    <w:rsid w:val="00F52BBD"/>
    <w:rsid w:val="00F84A00"/>
    <w:rsid w:val="00F96331"/>
    <w:rsid w:val="00FA2D82"/>
    <w:rsid w:val="00FC4582"/>
    <w:rsid w:val="00FD2CD4"/>
    <w:rsid w:val="00FD3A2A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02EF"/>
  <w15:docId w15:val="{3521D788-8053-466C-A364-49D6E12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D0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08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nfasis">
    <w:name w:val="Emphasis"/>
    <w:basedOn w:val="Fuentedeprrafopredeter"/>
    <w:uiPriority w:val="20"/>
    <w:qFormat/>
    <w:rsid w:val="00DD0866"/>
    <w:rPr>
      <w:i/>
      <w:iCs/>
    </w:rPr>
  </w:style>
  <w:style w:type="paragraph" w:styleId="Textonotapie">
    <w:name w:val="footnote text"/>
    <w:basedOn w:val="Normal"/>
    <w:link w:val="TextonotapieCar"/>
    <w:unhideWhenUsed/>
    <w:rsid w:val="00DD08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D08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DD0866"/>
    <w:rPr>
      <w:vertAlign w:val="superscript"/>
    </w:rPr>
  </w:style>
  <w:style w:type="character" w:customStyle="1" w:styleId="A14">
    <w:name w:val="A14"/>
    <w:uiPriority w:val="99"/>
    <w:rsid w:val="00DD0866"/>
    <w:rPr>
      <w:color w:val="000000"/>
      <w:sz w:val="12"/>
      <w:szCs w:val="12"/>
    </w:rPr>
  </w:style>
  <w:style w:type="paragraph" w:customStyle="1" w:styleId="Default">
    <w:name w:val="Default"/>
    <w:rsid w:val="00DD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086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0866"/>
  </w:style>
  <w:style w:type="character" w:styleId="Textoennegrita">
    <w:name w:val="Strong"/>
    <w:basedOn w:val="Fuentedeprrafopredeter"/>
    <w:uiPriority w:val="22"/>
    <w:qFormat/>
    <w:rsid w:val="00DD0866"/>
    <w:rPr>
      <w:b/>
      <w:bCs/>
    </w:rPr>
  </w:style>
  <w:style w:type="paragraph" w:styleId="NormalWeb">
    <w:name w:val="Normal (Web)"/>
    <w:basedOn w:val="Normal"/>
    <w:uiPriority w:val="99"/>
    <w:unhideWhenUsed/>
    <w:rsid w:val="00DD0866"/>
    <w:pPr>
      <w:spacing w:before="100" w:beforeAutospacing="1" w:after="100" w:afterAutospacing="1"/>
    </w:pPr>
    <w:rPr>
      <w:lang w:val="es-AR" w:eastAsia="es-AR"/>
    </w:rPr>
  </w:style>
  <w:style w:type="paragraph" w:styleId="Textoindependiente2">
    <w:name w:val="Body Text 2"/>
    <w:basedOn w:val="Normal"/>
    <w:link w:val="Textoindependiente2Car"/>
    <w:rsid w:val="00DD0866"/>
    <w:pPr>
      <w:spacing w:after="120" w:line="480" w:lineRule="auto"/>
    </w:pPr>
    <w:rPr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D086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2">
    <w:name w:val="A2"/>
    <w:uiPriority w:val="99"/>
    <w:rsid w:val="00DD0866"/>
    <w:rPr>
      <w:rFonts w:cs="Verdana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0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8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0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8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0866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F57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7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7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7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7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2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61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ielcano.org/el-mal-negocio-de-la-guer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75E7-8491-45F1-9392-4449DB6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Javier Jordán</cp:lastModifiedBy>
  <cp:revision>4</cp:revision>
  <dcterms:created xsi:type="dcterms:W3CDTF">2018-11-20T14:41:00Z</dcterms:created>
  <dcterms:modified xsi:type="dcterms:W3CDTF">2019-06-28T09:10:00Z</dcterms:modified>
</cp:coreProperties>
</file>