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95" w:rsidRPr="00D02234" w:rsidRDefault="00810052" w:rsidP="00960521">
      <w:pPr>
        <w:spacing w:after="0" w:line="240" w:lineRule="auto"/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Autoinforme de Seguimiento</w:t>
      </w:r>
    </w:p>
    <w:p w:rsidR="00A10E93" w:rsidRPr="00960521" w:rsidRDefault="00A10E93" w:rsidP="00960521">
      <w:pPr>
        <w:spacing w:after="0" w:line="240" w:lineRule="auto"/>
        <w:jc w:val="center"/>
        <w:rPr>
          <w:b/>
        </w:rPr>
      </w:pPr>
    </w:p>
    <w:tbl>
      <w:tblPr>
        <w:tblStyle w:val="Sombreadoclaro-nfasis1"/>
        <w:tblW w:w="8613" w:type="dxa"/>
        <w:jc w:val="center"/>
        <w:tblLook w:val="0480" w:firstRow="0" w:lastRow="0" w:firstColumn="1" w:lastColumn="0" w:noHBand="0" w:noVBand="1"/>
      </w:tblPr>
      <w:tblGrid>
        <w:gridCol w:w="1244"/>
        <w:gridCol w:w="1419"/>
        <w:gridCol w:w="66"/>
        <w:gridCol w:w="1569"/>
        <w:gridCol w:w="1033"/>
        <w:gridCol w:w="3282"/>
      </w:tblGrid>
      <w:tr w:rsidR="00942FC1" w:rsidRPr="00A10E93" w:rsidTr="007F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:rsidR="00942FC1" w:rsidRPr="00A10E93" w:rsidRDefault="007F7E45" w:rsidP="00830A11">
            <w:r>
              <w:t>Programa de Doctorado</w:t>
            </w:r>
            <w:r w:rsidR="00942FC1" w:rsidRPr="00942FC1">
              <w:t>:</w:t>
            </w:r>
          </w:p>
        </w:tc>
        <w:tc>
          <w:tcPr>
            <w:tcW w:w="5950" w:type="dxa"/>
            <w:gridSpan w:val="4"/>
          </w:tcPr>
          <w:p w:rsidR="00942FC1" w:rsidRPr="00FB7455" w:rsidRDefault="00942FC1" w:rsidP="0021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10E93" w:rsidRPr="00A10E93" w:rsidTr="007F7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A10E93" w:rsidRPr="00A10E93" w:rsidRDefault="00A10E93" w:rsidP="00830A11">
            <w:r w:rsidRPr="00A10E93">
              <w:t>Curso:</w:t>
            </w:r>
          </w:p>
        </w:tc>
        <w:tc>
          <w:tcPr>
            <w:tcW w:w="7369" w:type="dxa"/>
            <w:gridSpan w:val="5"/>
          </w:tcPr>
          <w:p w:rsidR="00A10E93" w:rsidRPr="00FB7455" w:rsidRDefault="005A3F95" w:rsidP="0043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2019/20</w:t>
            </w:r>
          </w:p>
        </w:tc>
      </w:tr>
      <w:tr w:rsidR="00A10E93" w:rsidRPr="00A10E93" w:rsidTr="007F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3"/>
          </w:tcPr>
          <w:p w:rsidR="00A10E93" w:rsidRPr="00A10E93" w:rsidRDefault="00A10E93" w:rsidP="00197922">
            <w:r w:rsidRPr="00A10E93">
              <w:t xml:space="preserve">Fecha de </w:t>
            </w:r>
            <w:r w:rsidR="00197922">
              <w:t>elaboración</w:t>
            </w:r>
            <w:r w:rsidRPr="00A10E93">
              <w:t>:</w:t>
            </w:r>
          </w:p>
        </w:tc>
        <w:tc>
          <w:tcPr>
            <w:tcW w:w="1569" w:type="dxa"/>
          </w:tcPr>
          <w:p w:rsidR="00A10E93" w:rsidRPr="00FB7455" w:rsidRDefault="00A10E93" w:rsidP="009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33" w:type="dxa"/>
          </w:tcPr>
          <w:p w:rsidR="00A10E93" w:rsidRPr="00A10E93" w:rsidRDefault="00A10E93" w:rsidP="00A1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0E93">
              <w:rPr>
                <w:b/>
              </w:rPr>
              <w:t>Acta nº:</w:t>
            </w:r>
          </w:p>
        </w:tc>
        <w:tc>
          <w:tcPr>
            <w:tcW w:w="3282" w:type="dxa"/>
          </w:tcPr>
          <w:p w:rsidR="00A10E93" w:rsidRPr="00FB7455" w:rsidRDefault="00A10E93" w:rsidP="00A1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960521" w:rsidRDefault="00960521" w:rsidP="00960521">
      <w:pPr>
        <w:spacing w:after="0" w:line="240" w:lineRule="auto"/>
      </w:pPr>
    </w:p>
    <w:tbl>
      <w:tblPr>
        <w:tblStyle w:val="Sombreadomedio1-nfasis1"/>
        <w:tblW w:w="0" w:type="auto"/>
        <w:jc w:val="center"/>
        <w:tblLook w:val="04A0" w:firstRow="1" w:lastRow="0" w:firstColumn="1" w:lastColumn="0" w:noHBand="0" w:noVBand="1"/>
      </w:tblPr>
      <w:tblGrid>
        <w:gridCol w:w="4632"/>
        <w:gridCol w:w="3146"/>
      </w:tblGrid>
      <w:tr w:rsidR="00960521" w:rsidRPr="00960521" w:rsidTr="00297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  <w:shd w:val="clear" w:color="auto" w:fill="365F91" w:themeFill="accent1" w:themeFillShade="BF"/>
          </w:tcPr>
          <w:p w:rsidR="00960521" w:rsidRPr="00960521" w:rsidRDefault="009061D5" w:rsidP="00197922">
            <w:pPr>
              <w:jc w:val="center"/>
            </w:pPr>
            <w:r>
              <w:t>CA/</w:t>
            </w:r>
            <w:r w:rsidR="00F95040">
              <w:t xml:space="preserve">CGICPD </w:t>
            </w:r>
            <w:r w:rsidR="00217346">
              <w:t xml:space="preserve"> </w:t>
            </w:r>
            <w:r w:rsidR="00960521" w:rsidRPr="00960521">
              <w:t>Asistentes:</w:t>
            </w:r>
          </w:p>
        </w:tc>
        <w:tc>
          <w:tcPr>
            <w:tcW w:w="3146" w:type="dxa"/>
            <w:shd w:val="clear" w:color="auto" w:fill="365F91" w:themeFill="accent1" w:themeFillShade="BF"/>
          </w:tcPr>
          <w:p w:rsidR="00960521" w:rsidRPr="00F00B35" w:rsidRDefault="00960521" w:rsidP="007F7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B35">
              <w:t>Colectivo</w:t>
            </w:r>
            <w:r w:rsidR="0029791C">
              <w:t xml:space="preserve"> </w:t>
            </w:r>
            <w:r w:rsidR="0029791C" w:rsidRPr="0029791C">
              <w:rPr>
                <w:sz w:val="20"/>
              </w:rPr>
              <w:t>(PDI/</w:t>
            </w:r>
            <w:r w:rsidR="007F7E45">
              <w:rPr>
                <w:sz w:val="20"/>
              </w:rPr>
              <w:t>Doctorandos/</w:t>
            </w:r>
            <w:r w:rsidR="0029791C" w:rsidRPr="0029791C">
              <w:rPr>
                <w:sz w:val="20"/>
              </w:rPr>
              <w:t>PAS)</w:t>
            </w:r>
            <w:r w:rsidRPr="0029791C">
              <w:rPr>
                <w:sz w:val="20"/>
              </w:rPr>
              <w:t>:</w:t>
            </w:r>
          </w:p>
        </w:tc>
      </w:tr>
      <w:tr w:rsidR="00960521" w:rsidRPr="00960521" w:rsidTr="0029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:rsidR="00960521" w:rsidRPr="00FB7455" w:rsidRDefault="00960521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146" w:type="dxa"/>
          </w:tcPr>
          <w:p w:rsidR="00960521" w:rsidRPr="00FB7455" w:rsidRDefault="00960521" w:rsidP="0096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0521" w:rsidRPr="00960521" w:rsidTr="0029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:rsidR="00960521" w:rsidRPr="00FB7455" w:rsidRDefault="00960521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146" w:type="dxa"/>
          </w:tcPr>
          <w:p w:rsidR="00960521" w:rsidRPr="00FB7455" w:rsidRDefault="00960521" w:rsidP="00960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0521" w:rsidRPr="00960521" w:rsidTr="0029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:rsidR="00960521" w:rsidRPr="00FB7455" w:rsidRDefault="00960521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146" w:type="dxa"/>
          </w:tcPr>
          <w:p w:rsidR="00960521" w:rsidRPr="00FB7455" w:rsidRDefault="00960521" w:rsidP="0096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5565" w:rsidRPr="00960521" w:rsidTr="0029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:rsidR="00175565" w:rsidRPr="00FB7455" w:rsidRDefault="00175565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146" w:type="dxa"/>
          </w:tcPr>
          <w:p w:rsidR="00175565" w:rsidRPr="00FB7455" w:rsidRDefault="00175565" w:rsidP="00960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5565" w:rsidRPr="00960521" w:rsidTr="0029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:rsidR="00175565" w:rsidRPr="00FB7455" w:rsidRDefault="00175565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146" w:type="dxa"/>
          </w:tcPr>
          <w:p w:rsidR="00175565" w:rsidRPr="00FB7455" w:rsidRDefault="00175565" w:rsidP="0096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217346" w:rsidRDefault="00217346" w:rsidP="00960521">
      <w:pPr>
        <w:spacing w:after="0" w:line="240" w:lineRule="auto"/>
        <w:sectPr w:rsidR="00217346" w:rsidSect="00F52024">
          <w:headerReference w:type="default" r:id="rId9"/>
          <w:footerReference w:type="default" r:id="rId10"/>
          <w:pgSz w:w="11906" w:h="16838" w:code="9"/>
          <w:pgMar w:top="1701" w:right="907" w:bottom="1418" w:left="907" w:header="425" w:footer="284" w:gutter="0"/>
          <w:cols w:space="708"/>
          <w:formProt w:val="0"/>
          <w:docGrid w:linePitch="360"/>
        </w:sectPr>
      </w:pPr>
    </w:p>
    <w:p w:rsidR="00960521" w:rsidRDefault="00D02234" w:rsidP="003823B7">
      <w:pPr>
        <w:spacing w:after="0" w:line="240" w:lineRule="auto"/>
        <w:ind w:right="1161"/>
        <w:jc w:val="right"/>
        <w:rPr>
          <w:b/>
          <w:bCs/>
          <w:color w:val="365F91" w:themeColor="accent1" w:themeShade="BF"/>
          <w:sz w:val="16"/>
          <w:szCs w:val="16"/>
        </w:rPr>
      </w:pPr>
      <w:r w:rsidRPr="00D02234">
        <w:rPr>
          <w:b/>
          <w:bCs/>
          <w:color w:val="365F91" w:themeColor="accent1" w:themeShade="BF"/>
          <w:sz w:val="16"/>
          <w:szCs w:val="16"/>
        </w:rPr>
        <w:lastRenderedPageBreak/>
        <w:t>*Eliminar o añadir las filas que se consideren necesarias</w:t>
      </w:r>
    </w:p>
    <w:p w:rsidR="00150266" w:rsidRPr="00150266" w:rsidRDefault="00150266" w:rsidP="00150266">
      <w:pPr>
        <w:spacing w:after="0" w:line="240" w:lineRule="auto"/>
        <w:ind w:right="1161"/>
        <w:rPr>
          <w:b/>
          <w:bCs/>
          <w:color w:val="365F91" w:themeColor="accent1" w:themeShade="BF"/>
          <w:szCs w:val="20"/>
        </w:rPr>
      </w:pPr>
      <w:r w:rsidRPr="00150266">
        <w:rPr>
          <w:b/>
          <w:bCs/>
          <w:color w:val="365F91" w:themeColor="accent1" w:themeShade="BF"/>
          <w:szCs w:val="20"/>
        </w:rPr>
        <w:t>Indicar las actuaciones desarrolladas marcando  una “X” en la columna “Sí” o “No”.</w:t>
      </w:r>
    </w:p>
    <w:tbl>
      <w:tblPr>
        <w:tblStyle w:val="Cuadrculaclara-nfasis1"/>
        <w:tblW w:w="10462" w:type="dxa"/>
        <w:tblLayout w:type="fixed"/>
        <w:tblLook w:val="04A0" w:firstRow="1" w:lastRow="0" w:firstColumn="1" w:lastColumn="0" w:noHBand="0" w:noVBand="1"/>
      </w:tblPr>
      <w:tblGrid>
        <w:gridCol w:w="1809"/>
        <w:gridCol w:w="7512"/>
        <w:gridCol w:w="426"/>
        <w:gridCol w:w="715"/>
      </w:tblGrid>
      <w:tr w:rsidR="005F1D60" w:rsidRPr="00AD1757" w:rsidTr="00CB3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right w:val="nil"/>
            </w:tcBorders>
          </w:tcPr>
          <w:p w:rsidR="005F1D60" w:rsidRPr="00AD1757" w:rsidRDefault="005F1D60" w:rsidP="00D95C61">
            <w:pPr>
              <w:ind w:left="13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>Criterio</w:t>
            </w: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5F1D60" w:rsidRPr="00AD1757" w:rsidRDefault="00F95040" w:rsidP="00252670">
            <w:pPr>
              <w:pStyle w:val="Prrafodelista"/>
              <w:ind w:left="4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</w:t>
            </w:r>
            <w:r w:rsidR="009061D5">
              <w:rPr>
                <w:sz w:val="20"/>
                <w:szCs w:val="20"/>
              </w:rPr>
              <w:t>CA/</w:t>
            </w:r>
            <w:r w:rsidRPr="00AD1757">
              <w:rPr>
                <w:sz w:val="20"/>
                <w:szCs w:val="20"/>
              </w:rPr>
              <w:t>CGIC</w:t>
            </w:r>
            <w:r>
              <w:rPr>
                <w:sz w:val="20"/>
                <w:szCs w:val="20"/>
              </w:rPr>
              <w:t>PD</w:t>
            </w:r>
            <w:r w:rsidRPr="00AD1757">
              <w:rPr>
                <w:sz w:val="20"/>
                <w:szCs w:val="20"/>
              </w:rPr>
              <w:t xml:space="preserve"> ha analizado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5F1D60" w:rsidRPr="00AD1757" w:rsidRDefault="005F1D60" w:rsidP="005F1D6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5F1D60" w:rsidRPr="00AD1757" w:rsidRDefault="005F1D60" w:rsidP="005F1D60">
            <w:pPr>
              <w:pStyle w:val="Prrafodelista"/>
              <w:ind w:lef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F1D60" w:rsidRPr="00AD1757" w:rsidTr="0004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5F1D60" w:rsidRPr="00AD1757" w:rsidRDefault="005F1D60" w:rsidP="00AD1757">
            <w:pPr>
              <w:ind w:left="137"/>
              <w:jc w:val="center"/>
              <w:rPr>
                <w:b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Información Pública Disponible</w:t>
            </w: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5F1D60" w:rsidRPr="00AD1757" w:rsidRDefault="00F95040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F1D60" w:rsidRPr="00AD1757">
              <w:rPr>
                <w:sz w:val="20"/>
                <w:szCs w:val="20"/>
              </w:rPr>
              <w:t xml:space="preserve">os indicadores de </w:t>
            </w:r>
            <w:r w:rsidR="004760B5" w:rsidRPr="00BE60DF">
              <w:rPr>
                <w:b/>
                <w:sz w:val="20"/>
                <w:szCs w:val="20"/>
              </w:rPr>
              <w:t>d</w:t>
            </w:r>
            <w:r w:rsidR="005F1D60" w:rsidRPr="00BE60DF">
              <w:rPr>
                <w:b/>
                <w:sz w:val="20"/>
                <w:szCs w:val="20"/>
              </w:rPr>
              <w:t>ifusión web</w:t>
            </w:r>
            <w:r w:rsidR="005F1D60" w:rsidRPr="00AD1757">
              <w:rPr>
                <w:sz w:val="20"/>
                <w:szCs w:val="20"/>
              </w:rPr>
              <w:t xml:space="preserve"> y </w:t>
            </w:r>
            <w:r w:rsidR="009061D5">
              <w:rPr>
                <w:sz w:val="20"/>
                <w:szCs w:val="20"/>
              </w:rPr>
              <w:t xml:space="preserve">la </w:t>
            </w:r>
            <w:r w:rsidR="005F1D60" w:rsidRPr="00AD1757">
              <w:rPr>
                <w:sz w:val="20"/>
                <w:szCs w:val="20"/>
              </w:rPr>
              <w:t>publica</w:t>
            </w:r>
            <w:r w:rsidR="009061D5">
              <w:rPr>
                <w:sz w:val="20"/>
                <w:szCs w:val="20"/>
              </w:rPr>
              <w:t>ción de</w:t>
            </w:r>
            <w:r w:rsidR="005F1D60" w:rsidRPr="00AD1757">
              <w:rPr>
                <w:sz w:val="20"/>
                <w:szCs w:val="20"/>
              </w:rPr>
              <w:t xml:space="preserve"> la </w:t>
            </w:r>
            <w:r w:rsidR="005F1D60" w:rsidRPr="007F7E45">
              <w:rPr>
                <w:b/>
                <w:sz w:val="20"/>
                <w:szCs w:val="20"/>
              </w:rPr>
              <w:t>información</w:t>
            </w:r>
            <w:r w:rsidR="005F1D60" w:rsidRPr="007F7E45">
              <w:rPr>
                <w:sz w:val="20"/>
                <w:szCs w:val="20"/>
              </w:rPr>
              <w:t xml:space="preserve"> requerida por la DEVA</w:t>
            </w:r>
            <w:r w:rsidR="007A3801">
              <w:rPr>
                <w:sz w:val="20"/>
                <w:szCs w:val="20"/>
              </w:rPr>
              <w:t xml:space="preserve"> (Anexo III de la </w:t>
            </w:r>
            <w:hyperlink r:id="rId11" w:history="1">
              <w:r w:rsidR="00D02234" w:rsidRPr="007F7E45">
                <w:rPr>
                  <w:rStyle w:val="Hipervnculo"/>
                  <w:sz w:val="20"/>
                  <w:szCs w:val="20"/>
                </w:rPr>
                <w:t>G</w:t>
              </w:r>
              <w:r w:rsidR="007A3801" w:rsidRPr="007F7E45">
                <w:rPr>
                  <w:rStyle w:val="Hipervnculo"/>
                  <w:sz w:val="20"/>
                  <w:szCs w:val="20"/>
                </w:rPr>
                <w:t xml:space="preserve">uía de </w:t>
              </w:r>
              <w:r w:rsidR="00D02234" w:rsidRPr="007F7E45">
                <w:rPr>
                  <w:rStyle w:val="Hipervnculo"/>
                  <w:sz w:val="20"/>
                  <w:szCs w:val="20"/>
                </w:rPr>
                <w:t>S</w:t>
              </w:r>
              <w:r w:rsidR="007A3801" w:rsidRPr="007F7E45">
                <w:rPr>
                  <w:rStyle w:val="Hipervnculo"/>
                  <w:sz w:val="20"/>
                  <w:szCs w:val="20"/>
                </w:rPr>
                <w:t>eguimiento</w:t>
              </w:r>
              <w:r w:rsidR="00D02234" w:rsidRPr="007F7E45">
                <w:rPr>
                  <w:rStyle w:val="Hipervnculo"/>
                  <w:sz w:val="20"/>
                  <w:szCs w:val="20"/>
                </w:rPr>
                <w:t xml:space="preserve"> DEVA</w:t>
              </w:r>
            </w:hyperlink>
            <w:r w:rsidR="007A3801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18" w:space="0" w:color="4F81BD" w:themeColor="accent1"/>
              <w:left w:val="single" w:sz="4" w:space="0" w:color="4F81BD" w:themeColor="accent1"/>
            </w:tcBorders>
            <w:vAlign w:val="center"/>
          </w:tcPr>
          <w:p w:rsidR="005F1D60" w:rsidRPr="00926048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8" w:space="0" w:color="4F81BD" w:themeColor="accent1"/>
              <w:left w:val="nil"/>
              <w:right w:val="nil"/>
            </w:tcBorders>
            <w:vAlign w:val="center"/>
          </w:tcPr>
          <w:p w:rsidR="005F1D60" w:rsidRPr="00926048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5E1B" w:rsidRPr="00AD1757" w:rsidTr="00046D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55E1B" w:rsidRPr="00AD1757" w:rsidRDefault="00055E1B" w:rsidP="00F95040">
            <w:pPr>
              <w:ind w:left="137"/>
              <w:jc w:val="center"/>
              <w:rPr>
                <w:sz w:val="20"/>
                <w:szCs w:val="20"/>
              </w:rPr>
            </w:pPr>
            <w:r w:rsidRPr="00055E1B">
              <w:rPr>
                <w:b w:val="0"/>
                <w:sz w:val="20"/>
                <w:szCs w:val="20"/>
              </w:rPr>
              <w:t>Implantación</w:t>
            </w:r>
            <w:r w:rsidRPr="00AD1757">
              <w:rPr>
                <w:b w:val="0"/>
                <w:bCs w:val="0"/>
                <w:sz w:val="20"/>
                <w:szCs w:val="20"/>
              </w:rPr>
              <w:t xml:space="preserve"> del </w:t>
            </w:r>
            <w:r>
              <w:rPr>
                <w:b w:val="0"/>
                <w:bCs w:val="0"/>
                <w:sz w:val="20"/>
                <w:szCs w:val="20"/>
              </w:rPr>
              <w:t>Programa</w:t>
            </w: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055E1B" w:rsidRDefault="00055E1B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D1757">
              <w:rPr>
                <w:sz w:val="20"/>
                <w:szCs w:val="20"/>
              </w:rPr>
              <w:t xml:space="preserve">l cumplimiento de la </w:t>
            </w:r>
            <w:r w:rsidRPr="00BE60DF">
              <w:rPr>
                <w:b/>
                <w:sz w:val="20"/>
                <w:szCs w:val="20"/>
              </w:rPr>
              <w:t>planificación</w:t>
            </w:r>
            <w:r w:rsidRPr="00AD1757">
              <w:rPr>
                <w:sz w:val="20"/>
                <w:szCs w:val="20"/>
              </w:rPr>
              <w:t xml:space="preserve"> </w:t>
            </w:r>
            <w:r w:rsidRPr="00F95040">
              <w:rPr>
                <w:b/>
                <w:sz w:val="20"/>
                <w:szCs w:val="20"/>
              </w:rPr>
              <w:t>y organización de las actividades formativas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5E1B" w:rsidRPr="00AD1757" w:rsidTr="0004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5E1B" w:rsidRPr="00AD1757" w:rsidRDefault="00055E1B" w:rsidP="00F95040">
            <w:pPr>
              <w:ind w:left="137"/>
              <w:jc w:val="center"/>
              <w:rPr>
                <w:b w:val="0"/>
                <w:bCs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055E1B" w:rsidRPr="00AD1757" w:rsidRDefault="00055E1B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cumplimiento de los mecanismos para </w:t>
            </w:r>
            <w:r w:rsidRPr="007C4113">
              <w:rPr>
                <w:b/>
                <w:sz w:val="20"/>
                <w:szCs w:val="20"/>
              </w:rPr>
              <w:t xml:space="preserve">supervisión </w:t>
            </w:r>
            <w:r w:rsidR="007C4113" w:rsidRPr="007C4113">
              <w:rPr>
                <w:b/>
                <w:sz w:val="20"/>
                <w:szCs w:val="20"/>
              </w:rPr>
              <w:t>y seguimiento</w:t>
            </w:r>
            <w:r>
              <w:rPr>
                <w:sz w:val="20"/>
                <w:szCs w:val="20"/>
              </w:rPr>
              <w:t xml:space="preserve"> de los doctorandos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5E1B" w:rsidRPr="00AD1757" w:rsidTr="00046D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5E1B" w:rsidRPr="00AD1757" w:rsidRDefault="00055E1B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055E1B" w:rsidRPr="00AD1757" w:rsidRDefault="00055E1B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coherencia del </w:t>
            </w:r>
            <w:r w:rsidRPr="006A0453">
              <w:rPr>
                <w:b/>
                <w:sz w:val="20"/>
                <w:szCs w:val="20"/>
              </w:rPr>
              <w:t>perfil de ingreso</w:t>
            </w:r>
            <w:r>
              <w:rPr>
                <w:sz w:val="20"/>
                <w:szCs w:val="20"/>
              </w:rPr>
              <w:t xml:space="preserve"> con las líneas de investigación del programa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5E1B" w:rsidRPr="00AD1757" w:rsidTr="0004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5E1B" w:rsidRPr="00AD1757" w:rsidRDefault="00055E1B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055E1B" w:rsidRPr="00926048" w:rsidRDefault="00055E1B" w:rsidP="00BC65C9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desarrollo de </w:t>
            </w:r>
            <w:r w:rsidRPr="006A0453">
              <w:rPr>
                <w:b/>
                <w:sz w:val="20"/>
                <w:szCs w:val="20"/>
              </w:rPr>
              <w:t>complementos formativos</w:t>
            </w:r>
            <w:r w:rsidR="00BC65C9">
              <w:rPr>
                <w:b/>
                <w:sz w:val="20"/>
                <w:szCs w:val="20"/>
              </w:rPr>
              <w:t xml:space="preserve"> </w:t>
            </w:r>
            <w:r w:rsidR="00BC65C9" w:rsidRPr="009251FB">
              <w:rPr>
                <w:bCs/>
                <w:sz w:val="20"/>
                <w:szCs w:val="20"/>
              </w:rPr>
              <w:t xml:space="preserve">para los casos estipulados en </w:t>
            </w:r>
            <w:r w:rsidR="00BC65C9">
              <w:rPr>
                <w:bCs/>
                <w:sz w:val="20"/>
                <w:szCs w:val="20"/>
              </w:rPr>
              <w:t>la normativa de UGR y, en su caso, del programa.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055E1B" w:rsidRPr="00CB3ABF" w:rsidRDefault="00055E1B" w:rsidP="00CB3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55E1B" w:rsidRPr="00926048" w:rsidRDefault="00055E1B" w:rsidP="0032069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5E1B" w:rsidRPr="00AD1757" w:rsidTr="00046D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5E1B" w:rsidRPr="00AD1757" w:rsidRDefault="00055E1B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055E1B" w:rsidRPr="00AD1757" w:rsidRDefault="00055E1B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funcionamiento de la </w:t>
            </w:r>
            <w:r w:rsidRPr="007C4113">
              <w:rPr>
                <w:b/>
                <w:sz w:val="20"/>
                <w:szCs w:val="20"/>
              </w:rPr>
              <w:t>comisión académica</w:t>
            </w:r>
            <w:r>
              <w:rPr>
                <w:sz w:val="20"/>
                <w:szCs w:val="20"/>
              </w:rPr>
              <w:t xml:space="preserve"> del programa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55E1B" w:rsidRPr="00926048" w:rsidRDefault="00055E1B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5E1B" w:rsidRPr="00AD1757" w:rsidTr="0004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5E1B" w:rsidRPr="00AD1757" w:rsidRDefault="00055E1B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055E1B" w:rsidRPr="00926048" w:rsidRDefault="00055E1B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6048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desarrollo de las funciones de dirección y tutorización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055E1B" w:rsidRPr="00CB3ABF" w:rsidRDefault="00055E1B" w:rsidP="00CB3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55E1B" w:rsidRPr="00926048" w:rsidRDefault="00055E1B" w:rsidP="009F217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:rsidTr="00055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  <w:vAlign w:val="center"/>
          </w:tcPr>
          <w:p w:rsidR="005F1D60" w:rsidRPr="00AD1757" w:rsidRDefault="005F1D60" w:rsidP="00AD1757">
            <w:pPr>
              <w:jc w:val="center"/>
              <w:rPr>
                <w:b w:val="0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Profesorado</w:t>
            </w: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5F1D60" w:rsidRPr="00AD1757" w:rsidRDefault="00F95040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F1D60" w:rsidRPr="00AD1757">
              <w:rPr>
                <w:sz w:val="20"/>
                <w:szCs w:val="20"/>
              </w:rPr>
              <w:t xml:space="preserve">os indicadores relativos a la </w:t>
            </w:r>
            <w:r w:rsidR="005F1D60" w:rsidRPr="00DE30F4">
              <w:rPr>
                <w:b/>
                <w:sz w:val="20"/>
                <w:szCs w:val="20"/>
              </w:rPr>
              <w:t xml:space="preserve">cualificación </w:t>
            </w:r>
            <w:r w:rsidR="005F1D60" w:rsidRPr="00AD1757">
              <w:rPr>
                <w:sz w:val="20"/>
                <w:szCs w:val="20"/>
              </w:rPr>
              <w:t xml:space="preserve">y </w:t>
            </w:r>
            <w:r w:rsidR="005F1D60" w:rsidRPr="00DE30F4">
              <w:rPr>
                <w:b/>
                <w:sz w:val="20"/>
                <w:szCs w:val="20"/>
              </w:rPr>
              <w:t xml:space="preserve">suficiencia </w:t>
            </w:r>
            <w:r w:rsidR="005F1D60" w:rsidRPr="00AD1757">
              <w:rPr>
                <w:sz w:val="20"/>
                <w:szCs w:val="20"/>
              </w:rPr>
              <w:t xml:space="preserve">del </w:t>
            </w:r>
            <w:r w:rsidR="009176D5">
              <w:rPr>
                <w:b/>
                <w:sz w:val="20"/>
                <w:szCs w:val="20"/>
              </w:rPr>
              <w:t>p</w:t>
            </w:r>
            <w:r w:rsidR="005F1D60" w:rsidRPr="00DE30F4">
              <w:rPr>
                <w:b/>
                <w:sz w:val="20"/>
                <w:szCs w:val="20"/>
              </w:rPr>
              <w:t>rofesorado</w:t>
            </w:r>
            <w:r w:rsidR="00BC65C9">
              <w:rPr>
                <w:b/>
                <w:sz w:val="20"/>
                <w:szCs w:val="20"/>
              </w:rPr>
              <w:t xml:space="preserve"> </w:t>
            </w:r>
            <w:r w:rsidR="00BC65C9">
              <w:rPr>
                <w:sz w:val="20"/>
                <w:szCs w:val="20"/>
              </w:rPr>
              <w:t>y su actualización según la normativa de la UGR.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5F1D60" w:rsidRPr="00926048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5F1D60" w:rsidRPr="00926048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:rsidTr="0005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5F1D60" w:rsidRPr="00AD1757" w:rsidRDefault="005F1D60" w:rsidP="00942FC1">
            <w:pPr>
              <w:ind w:left="-25"/>
              <w:jc w:val="center"/>
              <w:rPr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Infraestructuras, servicios y recursos</w:t>
            </w: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5F1D60" w:rsidRPr="00AD1757" w:rsidRDefault="00F95040" w:rsidP="00BC65C9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cambios en l</w:t>
            </w:r>
            <w:r w:rsidR="005F1D60" w:rsidRPr="00AD1757">
              <w:rPr>
                <w:sz w:val="20"/>
                <w:szCs w:val="20"/>
              </w:rPr>
              <w:t xml:space="preserve">as </w:t>
            </w:r>
            <w:r w:rsidR="005F1D60" w:rsidRPr="00DE30F4">
              <w:rPr>
                <w:b/>
                <w:sz w:val="20"/>
                <w:szCs w:val="20"/>
              </w:rPr>
              <w:t>infraestructuras</w:t>
            </w:r>
            <w:r w:rsidR="005F1D60" w:rsidRPr="00AD1757">
              <w:rPr>
                <w:sz w:val="20"/>
                <w:szCs w:val="20"/>
              </w:rPr>
              <w:t xml:space="preserve">, </w:t>
            </w:r>
            <w:r w:rsidR="005F1D60" w:rsidRPr="00DE30F4">
              <w:rPr>
                <w:b/>
                <w:sz w:val="20"/>
                <w:szCs w:val="20"/>
              </w:rPr>
              <w:t>servicios</w:t>
            </w:r>
            <w:r w:rsidR="005F1D60" w:rsidRPr="00AD1757">
              <w:rPr>
                <w:sz w:val="20"/>
                <w:szCs w:val="20"/>
              </w:rPr>
              <w:t xml:space="preserve"> y </w:t>
            </w:r>
            <w:r w:rsidR="005F1D60" w:rsidRPr="00DE30F4">
              <w:rPr>
                <w:b/>
                <w:sz w:val="20"/>
                <w:szCs w:val="20"/>
              </w:rPr>
              <w:t>dotación</w:t>
            </w:r>
            <w:r w:rsidR="005F1D60" w:rsidRPr="00AD1757">
              <w:rPr>
                <w:sz w:val="20"/>
                <w:szCs w:val="20"/>
              </w:rPr>
              <w:t xml:space="preserve"> </w:t>
            </w:r>
            <w:r w:rsidR="005F1D60" w:rsidRPr="00DE30F4">
              <w:rPr>
                <w:b/>
                <w:sz w:val="20"/>
                <w:szCs w:val="20"/>
              </w:rPr>
              <w:t>de recursos</w:t>
            </w:r>
            <w:r w:rsidR="005F1D60" w:rsidRPr="00AD1757">
              <w:rPr>
                <w:sz w:val="20"/>
                <w:szCs w:val="20"/>
              </w:rPr>
              <w:t xml:space="preserve"> </w:t>
            </w:r>
            <w:r w:rsidR="00055E1B">
              <w:rPr>
                <w:sz w:val="20"/>
                <w:szCs w:val="20"/>
              </w:rPr>
              <w:t xml:space="preserve">utilizados por </w:t>
            </w:r>
            <w:r w:rsidR="005F1D60" w:rsidRPr="00AD1757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PD</w:t>
            </w:r>
            <w:r w:rsidR="00BC65C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5F1D60" w:rsidRPr="00AD1757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5F1D60" w:rsidRPr="00AD1757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65C9" w:rsidRPr="00AD1757" w:rsidTr="00055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DBE5F1" w:themeFill="accent1" w:themeFillTint="33"/>
            <w:vAlign w:val="center"/>
          </w:tcPr>
          <w:p w:rsidR="00BC65C9" w:rsidRPr="00AD1757" w:rsidRDefault="00BC65C9" w:rsidP="00AD1757">
            <w:pPr>
              <w:ind w:left="137"/>
              <w:jc w:val="center"/>
              <w:rPr>
                <w:b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Indicadores y resultados</w:t>
            </w:r>
          </w:p>
        </w:tc>
        <w:tc>
          <w:tcPr>
            <w:tcW w:w="7512" w:type="dxa"/>
            <w:tcBorders>
              <w:right w:val="single" w:sz="4" w:space="0" w:color="4F81BD" w:themeColor="accent1"/>
            </w:tcBorders>
            <w:vAlign w:val="center"/>
          </w:tcPr>
          <w:p w:rsidR="00BC65C9" w:rsidRPr="00AD1757" w:rsidRDefault="00BC65C9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CGICPD/CA </w:t>
            </w:r>
            <w:r w:rsidRPr="00AD1757">
              <w:rPr>
                <w:sz w:val="20"/>
                <w:szCs w:val="20"/>
              </w:rPr>
              <w:t xml:space="preserve"> ha analizado los </w:t>
            </w:r>
            <w:r>
              <w:rPr>
                <w:sz w:val="20"/>
                <w:szCs w:val="20"/>
              </w:rPr>
              <w:t xml:space="preserve">indicadores </w:t>
            </w:r>
            <w:r w:rsidRPr="00AD1757">
              <w:rPr>
                <w:sz w:val="20"/>
                <w:szCs w:val="20"/>
              </w:rPr>
              <w:t xml:space="preserve">de </w:t>
            </w:r>
            <w:r w:rsidRPr="00DE30F4">
              <w:rPr>
                <w:b/>
                <w:sz w:val="20"/>
                <w:szCs w:val="20"/>
              </w:rPr>
              <w:t xml:space="preserve">rendimiento </w:t>
            </w:r>
            <w:r w:rsidRPr="00AD1757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>programa: Producción, congresos, trabajos de investigación, publicaciones, es…</w:t>
            </w:r>
          </w:p>
        </w:tc>
        <w:tc>
          <w:tcPr>
            <w:tcW w:w="426" w:type="dxa"/>
            <w:tcBorders>
              <w:left w:val="single" w:sz="4" w:space="0" w:color="4F81BD" w:themeColor="accent1"/>
            </w:tcBorders>
            <w:vAlign w:val="center"/>
          </w:tcPr>
          <w:p w:rsidR="00BC65C9" w:rsidRPr="00AD1757" w:rsidRDefault="00BC65C9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BC65C9" w:rsidRPr="00AD1757" w:rsidRDefault="00BC65C9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65C9" w:rsidRPr="00AD1757" w:rsidTr="0005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DBE5F1" w:themeFill="accent1" w:themeFillTint="33"/>
          </w:tcPr>
          <w:p w:rsidR="00BC65C9" w:rsidRPr="00AD1757" w:rsidRDefault="00BC65C9" w:rsidP="00D95C61">
            <w:pPr>
              <w:ind w:left="137"/>
              <w:jc w:val="center"/>
              <w:rPr>
                <w:b w:val="0"/>
                <w:bCs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BC65C9" w:rsidRPr="00AD1757" w:rsidRDefault="00BC65C9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CGICPD/CA </w:t>
            </w:r>
            <w:r w:rsidRPr="00AD1757">
              <w:rPr>
                <w:sz w:val="20"/>
                <w:szCs w:val="20"/>
              </w:rPr>
              <w:t xml:space="preserve"> ha analizado los</w:t>
            </w:r>
            <w:r>
              <w:rPr>
                <w:sz w:val="20"/>
                <w:szCs w:val="20"/>
              </w:rPr>
              <w:t xml:space="preserve"> </w:t>
            </w:r>
            <w:r w:rsidRPr="00AD1757">
              <w:rPr>
                <w:sz w:val="20"/>
                <w:szCs w:val="20"/>
              </w:rPr>
              <w:t xml:space="preserve">indicadores de </w:t>
            </w:r>
            <w:r w:rsidRPr="00DE30F4">
              <w:rPr>
                <w:b/>
                <w:sz w:val="20"/>
                <w:szCs w:val="20"/>
              </w:rPr>
              <w:t>demanda</w:t>
            </w:r>
            <w:r w:rsidRPr="00AD1757">
              <w:rPr>
                <w:sz w:val="20"/>
                <w:szCs w:val="20"/>
              </w:rPr>
              <w:t xml:space="preserve"> del </w:t>
            </w:r>
            <w:r>
              <w:rPr>
                <w:sz w:val="20"/>
                <w:szCs w:val="20"/>
              </w:rPr>
              <w:t>programa</w:t>
            </w:r>
          </w:p>
        </w:tc>
        <w:tc>
          <w:tcPr>
            <w:tcW w:w="426" w:type="dxa"/>
            <w:vAlign w:val="center"/>
          </w:tcPr>
          <w:p w:rsidR="00BC65C9" w:rsidRPr="00AD1757" w:rsidRDefault="00BC65C9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BC65C9" w:rsidRPr="00AD1757" w:rsidRDefault="00BC65C9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65C9" w:rsidRPr="00AD1757" w:rsidTr="00055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DBE5F1" w:themeFill="accent1" w:themeFillTint="33"/>
          </w:tcPr>
          <w:p w:rsidR="00BC65C9" w:rsidRPr="00AD1757" w:rsidRDefault="00BC65C9" w:rsidP="00D95C61">
            <w:pPr>
              <w:ind w:left="13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BC65C9" w:rsidRPr="00AD1757" w:rsidRDefault="00BC65C9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CGICPD/CA </w:t>
            </w:r>
            <w:r w:rsidRPr="00AD1757">
              <w:rPr>
                <w:sz w:val="20"/>
                <w:szCs w:val="20"/>
              </w:rPr>
              <w:t xml:space="preserve"> ha analizado los indicadores de </w:t>
            </w:r>
            <w:r w:rsidRPr="00DE30F4">
              <w:rPr>
                <w:b/>
                <w:sz w:val="20"/>
                <w:szCs w:val="20"/>
              </w:rPr>
              <w:t>satisfacción</w:t>
            </w:r>
          </w:p>
        </w:tc>
        <w:tc>
          <w:tcPr>
            <w:tcW w:w="426" w:type="dxa"/>
            <w:vAlign w:val="center"/>
          </w:tcPr>
          <w:p w:rsidR="00BC65C9" w:rsidRPr="00AD1757" w:rsidRDefault="00BC65C9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BC65C9" w:rsidRPr="00AD1757" w:rsidRDefault="00BC65C9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65C9" w:rsidRPr="00AD1757" w:rsidTr="0005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DBE5F1" w:themeFill="accent1" w:themeFillTint="33"/>
          </w:tcPr>
          <w:p w:rsidR="00BC65C9" w:rsidRPr="00AD1757" w:rsidRDefault="00BC65C9" w:rsidP="00D95C61">
            <w:pPr>
              <w:ind w:left="13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BC65C9" w:rsidRPr="00AD1757" w:rsidRDefault="00BC65C9" w:rsidP="007C4113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resultados de internacionalización: </w:t>
            </w:r>
            <w:proofErr w:type="spellStart"/>
            <w:r>
              <w:rPr>
                <w:sz w:val="20"/>
                <w:szCs w:val="20"/>
              </w:rPr>
              <w:t>Cotutelas</w:t>
            </w:r>
            <w:proofErr w:type="spellEnd"/>
            <w:r>
              <w:rPr>
                <w:sz w:val="20"/>
                <w:szCs w:val="20"/>
              </w:rPr>
              <w:t>, tesis Internacionales, estancias…</w:t>
            </w:r>
          </w:p>
        </w:tc>
        <w:tc>
          <w:tcPr>
            <w:tcW w:w="426" w:type="dxa"/>
            <w:vAlign w:val="center"/>
          </w:tcPr>
          <w:p w:rsidR="00BC65C9" w:rsidRPr="00AD1757" w:rsidRDefault="00BC65C9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BC65C9" w:rsidRPr="00AD1757" w:rsidRDefault="00BC65C9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17346" w:rsidRDefault="00217346" w:rsidP="00252670">
      <w:pPr>
        <w:spacing w:after="0" w:line="240" w:lineRule="auto"/>
        <w:rPr>
          <w:sz w:val="20"/>
          <w:szCs w:val="20"/>
        </w:rPr>
        <w:sectPr w:rsidR="00217346" w:rsidSect="00F52024">
          <w:type w:val="continuous"/>
          <w:pgSz w:w="11906" w:h="16838"/>
          <w:pgMar w:top="2127" w:right="907" w:bottom="1418" w:left="907" w:header="426" w:footer="141" w:gutter="0"/>
          <w:cols w:space="708"/>
          <w:docGrid w:linePitch="360"/>
        </w:sectPr>
      </w:pPr>
    </w:p>
    <w:p w:rsidR="00D95C61" w:rsidRPr="00252670" w:rsidRDefault="00D95C61" w:rsidP="00252670">
      <w:pPr>
        <w:spacing w:after="0" w:line="240" w:lineRule="auto"/>
        <w:rPr>
          <w:sz w:val="20"/>
          <w:szCs w:val="20"/>
        </w:rPr>
      </w:pPr>
    </w:p>
    <w:tbl>
      <w:tblPr>
        <w:tblStyle w:val="Sombreadoclaro-nfasis1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217346" w:rsidRPr="00F00B35" w:rsidTr="0014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shd w:val="clear" w:color="auto" w:fill="365F91" w:themeFill="accent1" w:themeFillShade="BF"/>
          </w:tcPr>
          <w:p w:rsidR="00217346" w:rsidRPr="00DE30F4" w:rsidRDefault="00D70E94" w:rsidP="004443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1. </w:t>
            </w:r>
            <w:r w:rsidR="00217346" w:rsidRPr="00DE30F4">
              <w:rPr>
                <w:color w:val="FFFFFF" w:themeColor="background1"/>
              </w:rPr>
              <w:t>Observaciones derivadas de los análisis efectuados:</w:t>
            </w:r>
          </w:p>
        </w:tc>
      </w:tr>
    </w:tbl>
    <w:p w:rsidR="00217346" w:rsidRDefault="00217346" w:rsidP="00754887">
      <w:pPr>
        <w:shd w:val="clear" w:color="auto" w:fill="C6D9F1" w:themeFill="text2" w:themeFillTint="33"/>
        <w:spacing w:after="120" w:line="240" w:lineRule="auto"/>
        <w:jc w:val="both"/>
      </w:pPr>
    </w:p>
    <w:p w:rsidR="00754887" w:rsidRDefault="00754887" w:rsidP="00754887">
      <w:pPr>
        <w:shd w:val="clear" w:color="auto" w:fill="C6D9F1" w:themeFill="text2" w:themeFillTint="33"/>
        <w:spacing w:after="120" w:line="240" w:lineRule="auto"/>
        <w:jc w:val="both"/>
      </w:pPr>
    </w:p>
    <w:p w:rsidR="00754887" w:rsidRDefault="00754887" w:rsidP="00754887">
      <w:pPr>
        <w:shd w:val="clear" w:color="auto" w:fill="C6D9F1" w:themeFill="text2" w:themeFillTint="33"/>
        <w:spacing w:after="120" w:line="240" w:lineRule="auto"/>
        <w:jc w:val="both"/>
      </w:pPr>
    </w:p>
    <w:tbl>
      <w:tblPr>
        <w:tblStyle w:val="Sombreadoclaro-nfasis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75565" w:rsidRPr="00F00B35" w:rsidTr="00435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365F91" w:themeFill="accent1" w:themeFillShade="BF"/>
          </w:tcPr>
          <w:p w:rsidR="00175565" w:rsidRPr="00DE30F4" w:rsidRDefault="00DE30F4" w:rsidP="00294C8A">
            <w:pPr>
              <w:rPr>
                <w:color w:val="FFFFFF" w:themeColor="background1"/>
              </w:rPr>
            </w:pPr>
            <w:r w:rsidRPr="00DE30F4">
              <w:rPr>
                <w:color w:val="FFFFFF" w:themeColor="background1"/>
              </w:rPr>
              <w:t xml:space="preserve">2. </w:t>
            </w:r>
            <w:r w:rsidR="00175565" w:rsidRPr="00DE30F4">
              <w:rPr>
                <w:color w:val="FFFFFF" w:themeColor="background1"/>
              </w:rPr>
              <w:t>Acciones de Mejora derivadas de los análisis efectuados</w:t>
            </w:r>
            <w:r w:rsidR="00D547D1" w:rsidRPr="00DE30F4">
              <w:rPr>
                <w:color w:val="FFFFFF" w:themeColor="background1"/>
              </w:rPr>
              <w:t xml:space="preserve"> (en su caso)</w:t>
            </w:r>
            <w:r w:rsidR="00175565" w:rsidRPr="00DE30F4">
              <w:rPr>
                <w:color w:val="FFFFFF" w:themeColor="background1"/>
              </w:rPr>
              <w:t>:</w:t>
            </w:r>
          </w:p>
        </w:tc>
      </w:tr>
    </w:tbl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510229" w:rsidRPr="00150266" w:rsidTr="00510229">
        <w:tc>
          <w:tcPr>
            <w:tcW w:w="1985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510229" w:rsidRPr="005307F9" w:rsidRDefault="00510229" w:rsidP="00FF0114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  <w:r w:rsidRPr="005307F9">
              <w:rPr>
                <w:b/>
                <w:bCs/>
                <w:color w:val="365F91" w:themeColor="accent1" w:themeShade="BF"/>
              </w:rPr>
              <w:t>Cód. Acción Mejora</w:t>
            </w:r>
          </w:p>
        </w:tc>
        <w:tc>
          <w:tcPr>
            <w:tcW w:w="822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510229" w:rsidRPr="005307F9" w:rsidRDefault="00510229" w:rsidP="00FF0114">
            <w:pPr>
              <w:rPr>
                <w:b/>
                <w:color w:val="1F497D" w:themeColor="text2"/>
              </w:rPr>
            </w:pPr>
            <w:r w:rsidRPr="005307F9">
              <w:rPr>
                <w:b/>
                <w:color w:val="1F497D" w:themeColor="text2"/>
              </w:rPr>
              <w:t>Definición de la Acción de Mejora</w:t>
            </w:r>
          </w:p>
        </w:tc>
      </w:tr>
      <w:tr w:rsidR="00510229" w:rsidRPr="00150266" w:rsidTr="00510229">
        <w:tc>
          <w:tcPr>
            <w:tcW w:w="1985" w:type="dxa"/>
            <w:tcBorders>
              <w:right w:val="single" w:sz="4" w:space="0" w:color="1F497D" w:themeColor="text2"/>
            </w:tcBorders>
          </w:tcPr>
          <w:p w:rsidR="00510229" w:rsidRPr="005307F9" w:rsidRDefault="00510229" w:rsidP="00FF0114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822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10229" w:rsidRPr="00AD1757" w:rsidRDefault="00510229" w:rsidP="00FF0114">
            <w:pPr>
              <w:jc w:val="center"/>
              <w:rPr>
                <w:sz w:val="20"/>
                <w:szCs w:val="20"/>
              </w:rPr>
            </w:pPr>
          </w:p>
        </w:tc>
      </w:tr>
      <w:tr w:rsidR="00510229" w:rsidRPr="00150266" w:rsidTr="00510229">
        <w:tc>
          <w:tcPr>
            <w:tcW w:w="1985" w:type="dxa"/>
            <w:tcBorders>
              <w:right w:val="single" w:sz="4" w:space="0" w:color="1F497D" w:themeColor="text2"/>
            </w:tcBorders>
          </w:tcPr>
          <w:p w:rsidR="00510229" w:rsidRPr="005307F9" w:rsidRDefault="00510229" w:rsidP="00FF0114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82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10229" w:rsidRPr="00AD1757" w:rsidRDefault="00510229" w:rsidP="00FF0114">
            <w:pPr>
              <w:jc w:val="center"/>
              <w:rPr>
                <w:sz w:val="20"/>
                <w:szCs w:val="20"/>
              </w:rPr>
            </w:pPr>
          </w:p>
        </w:tc>
      </w:tr>
      <w:tr w:rsidR="00510229" w:rsidRPr="00150266" w:rsidTr="00510229">
        <w:tc>
          <w:tcPr>
            <w:tcW w:w="1985" w:type="dxa"/>
            <w:tcBorders>
              <w:right w:val="single" w:sz="4" w:space="0" w:color="1F497D" w:themeColor="text2"/>
            </w:tcBorders>
          </w:tcPr>
          <w:p w:rsidR="00510229" w:rsidRPr="005307F9" w:rsidRDefault="00510229" w:rsidP="00FF0114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82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10229" w:rsidRPr="00AD1757" w:rsidRDefault="00510229" w:rsidP="00FF01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0229" w:rsidRDefault="00510229" w:rsidP="00510229">
      <w:pPr>
        <w:spacing w:after="0" w:line="240" w:lineRule="auto"/>
        <w:jc w:val="right"/>
        <w:rPr>
          <w:b/>
          <w:bCs/>
          <w:color w:val="365F91" w:themeColor="accent1" w:themeShade="BF"/>
          <w:sz w:val="20"/>
          <w:szCs w:val="20"/>
        </w:rPr>
      </w:pPr>
      <w:r>
        <w:rPr>
          <w:b/>
          <w:bCs/>
          <w:color w:val="365F91" w:themeColor="accent1" w:themeShade="BF"/>
          <w:sz w:val="20"/>
          <w:szCs w:val="20"/>
        </w:rPr>
        <w:t xml:space="preserve">*El código de la Acción de Mejora se obtiene </w:t>
      </w:r>
      <w:r w:rsidR="004443C6">
        <w:rPr>
          <w:b/>
          <w:bCs/>
          <w:color w:val="365F91" w:themeColor="accent1" w:themeShade="BF"/>
          <w:sz w:val="20"/>
          <w:szCs w:val="20"/>
        </w:rPr>
        <w:t>automáticamente al crear la acción en</w:t>
      </w:r>
      <w:r>
        <w:rPr>
          <w:b/>
          <w:bCs/>
          <w:color w:val="365F91" w:themeColor="accent1" w:themeShade="BF"/>
          <w:sz w:val="20"/>
          <w:szCs w:val="20"/>
        </w:rPr>
        <w:t xml:space="preserve"> la aplicación informática</w:t>
      </w:r>
    </w:p>
    <w:p w:rsidR="00510229" w:rsidRDefault="00510229" w:rsidP="00510229">
      <w:pPr>
        <w:spacing w:after="0" w:line="240" w:lineRule="auto"/>
        <w:jc w:val="right"/>
        <w:rPr>
          <w:b/>
          <w:bCs/>
          <w:color w:val="365F91" w:themeColor="accent1" w:themeShade="BF"/>
          <w:sz w:val="20"/>
          <w:szCs w:val="20"/>
        </w:rPr>
      </w:pPr>
      <w:r w:rsidRPr="00DE30F4">
        <w:rPr>
          <w:b/>
          <w:bCs/>
          <w:color w:val="365F91" w:themeColor="accent1" w:themeShade="BF"/>
          <w:sz w:val="20"/>
          <w:szCs w:val="20"/>
        </w:rPr>
        <w:t>*Se pueden añadir más si se considera necesario</w:t>
      </w:r>
    </w:p>
    <w:p w:rsidR="00F52024" w:rsidRPr="00DE30F4" w:rsidRDefault="00F52024" w:rsidP="00DE30F4">
      <w:pPr>
        <w:spacing w:after="0" w:line="240" w:lineRule="auto"/>
        <w:jc w:val="right"/>
        <w:rPr>
          <w:b/>
          <w:bCs/>
          <w:color w:val="365F91" w:themeColor="accent1" w:themeShade="BF"/>
          <w:sz w:val="20"/>
          <w:szCs w:val="20"/>
        </w:rPr>
      </w:pPr>
    </w:p>
    <w:tbl>
      <w:tblPr>
        <w:tblStyle w:val="Sombreadoclaro-nfasis1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987FC0" w:rsidRPr="00F00B35" w:rsidTr="00942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7" w:type="dxa"/>
            <w:shd w:val="clear" w:color="auto" w:fill="365F91" w:themeFill="accent1" w:themeFillShade="BF"/>
          </w:tcPr>
          <w:p w:rsidR="00987FC0" w:rsidRPr="00DE30F4" w:rsidRDefault="00DE30F4" w:rsidP="00661580">
            <w:pPr>
              <w:rPr>
                <w:color w:val="FFFFFF" w:themeColor="background1"/>
              </w:rPr>
            </w:pPr>
            <w:r w:rsidRPr="00DE30F4">
              <w:rPr>
                <w:color w:val="FFFFFF" w:themeColor="background1"/>
              </w:rPr>
              <w:t xml:space="preserve">3. </w:t>
            </w:r>
            <w:r w:rsidR="00987FC0" w:rsidRPr="00DE30F4">
              <w:rPr>
                <w:color w:val="FFFFFF" w:themeColor="background1"/>
              </w:rPr>
              <w:t xml:space="preserve">Seguimiento de las Acciones de Mejora </w:t>
            </w:r>
            <w:r w:rsidR="00661580" w:rsidRPr="00DE30F4">
              <w:rPr>
                <w:color w:val="FFFFFF" w:themeColor="background1"/>
              </w:rPr>
              <w:t xml:space="preserve">incluidas en </w:t>
            </w:r>
            <w:r w:rsidR="00987FC0" w:rsidRPr="00DE30F4">
              <w:rPr>
                <w:color w:val="FFFFFF" w:themeColor="background1"/>
              </w:rPr>
              <w:t>el Plan de Mejora:</w:t>
            </w:r>
          </w:p>
        </w:tc>
      </w:tr>
    </w:tbl>
    <w:p w:rsidR="00F52024" w:rsidRDefault="00F52024" w:rsidP="00F52024">
      <w:pPr>
        <w:widowControl w:val="0"/>
        <w:spacing w:after="0" w:line="240" w:lineRule="auto"/>
        <w:jc w:val="both"/>
        <w:rPr>
          <w:b/>
          <w:bCs/>
          <w:color w:val="365F91" w:themeColor="accent1" w:themeShade="BF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6"/>
        <w:gridCol w:w="931"/>
        <w:gridCol w:w="931"/>
      </w:tblGrid>
      <w:tr w:rsidR="00150266" w:rsidRPr="00150266" w:rsidTr="00150266">
        <w:tc>
          <w:tcPr>
            <w:tcW w:w="8086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150266" w:rsidRPr="00150266" w:rsidRDefault="00150266" w:rsidP="00150266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Actualizar la aplicación “Acciones</w:t>
            </w:r>
            <w:r w:rsidR="0036317E">
              <w:rPr>
                <w:b/>
                <w:bCs/>
                <w:color w:val="365F91" w:themeColor="accent1" w:themeShade="BF"/>
              </w:rPr>
              <w:t xml:space="preserve"> de Mejora</w:t>
            </w:r>
            <w:r>
              <w:rPr>
                <w:b/>
                <w:bCs/>
                <w:color w:val="365F91" w:themeColor="accent1" w:themeShade="BF"/>
              </w:rPr>
              <w:t>“</w:t>
            </w:r>
            <w:r w:rsidR="004362D6">
              <w:rPr>
                <w:b/>
                <w:bCs/>
                <w:color w:val="365F91" w:themeColor="accent1" w:themeShade="BF"/>
              </w:rPr>
              <w:t xml:space="preserve"> </w:t>
            </w:r>
            <w:r>
              <w:rPr>
                <w:b/>
                <w:bCs/>
                <w:color w:val="365F91" w:themeColor="accent1" w:themeShade="BF"/>
              </w:rPr>
              <w:t>del Acceso identificado:</w:t>
            </w:r>
          </w:p>
        </w:tc>
        <w:tc>
          <w:tcPr>
            <w:tcW w:w="93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150266" w:rsidRPr="00150266" w:rsidRDefault="00150266" w:rsidP="00BF386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50266">
              <w:rPr>
                <w:b/>
                <w:color w:val="1F497D" w:themeColor="text2"/>
                <w:sz w:val="20"/>
                <w:szCs w:val="20"/>
              </w:rPr>
              <w:t>SÍ</w:t>
            </w:r>
          </w:p>
        </w:tc>
        <w:tc>
          <w:tcPr>
            <w:tcW w:w="93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150266" w:rsidRPr="00150266" w:rsidRDefault="00150266" w:rsidP="00BF386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50266">
              <w:rPr>
                <w:b/>
                <w:color w:val="1F497D" w:themeColor="text2"/>
                <w:sz w:val="20"/>
                <w:szCs w:val="20"/>
              </w:rPr>
              <w:t>NO</w:t>
            </w:r>
          </w:p>
        </w:tc>
      </w:tr>
      <w:tr w:rsidR="00150266" w:rsidRPr="00150266" w:rsidTr="00160C32">
        <w:tc>
          <w:tcPr>
            <w:tcW w:w="8086" w:type="dxa"/>
            <w:tcBorders>
              <w:right w:val="single" w:sz="4" w:space="0" w:color="1F497D" w:themeColor="text2"/>
            </w:tcBorders>
          </w:tcPr>
          <w:p w:rsidR="00150266" w:rsidRPr="00510229" w:rsidRDefault="00150266" w:rsidP="00510229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  <w:r w:rsidRPr="00510229">
              <w:rPr>
                <w:b/>
                <w:bCs/>
                <w:color w:val="365F91" w:themeColor="accent1" w:themeShade="BF"/>
              </w:rPr>
              <w:t>Realizar el seguimiento de las acciones que continúen en proceso de cursos anteriores</w:t>
            </w:r>
            <w:r w:rsidR="004362D6" w:rsidRPr="00510229">
              <w:rPr>
                <w:b/>
                <w:bCs/>
                <w:color w:val="365F91" w:themeColor="accent1" w:themeShade="BF"/>
              </w:rPr>
              <w:t>, especialmente las que dan respuesta a Recomendaciones y Recomendaciones de Especial Seguimiento de los informes de la DEVA</w:t>
            </w:r>
            <w:r w:rsidR="00810052" w:rsidRPr="00510229">
              <w:rPr>
                <w:b/>
                <w:bCs/>
                <w:color w:val="365F91" w:themeColor="accent1" w:themeShade="BF"/>
              </w:rPr>
              <w:t>*</w:t>
            </w:r>
            <w:r w:rsidRPr="00510229">
              <w:rPr>
                <w:b/>
                <w:bCs/>
                <w:color w:val="365F91" w:themeColor="accent1" w:themeShade="BF"/>
              </w:rPr>
              <w:t>.</w:t>
            </w:r>
          </w:p>
        </w:tc>
        <w:tc>
          <w:tcPr>
            <w:tcW w:w="9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50266" w:rsidRPr="00AD1757" w:rsidRDefault="00150266" w:rsidP="00150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50266" w:rsidRPr="00AD1757" w:rsidRDefault="00150266" w:rsidP="001502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0229" w:rsidRDefault="00510229" w:rsidP="00F72A4D">
      <w:pPr>
        <w:spacing w:after="0" w:line="240" w:lineRule="auto"/>
        <w:rPr>
          <w:b/>
          <w:bCs/>
        </w:rPr>
      </w:pPr>
    </w:p>
    <w:p w:rsidR="00F72A4D" w:rsidRPr="004443C6" w:rsidRDefault="00F72A4D" w:rsidP="00F72A4D">
      <w:pPr>
        <w:spacing w:after="0" w:line="240" w:lineRule="auto"/>
        <w:rPr>
          <w:bCs/>
        </w:rPr>
      </w:pPr>
      <w:r w:rsidRPr="004443C6">
        <w:rPr>
          <w:bCs/>
        </w:rPr>
        <w:t>Una vez finalizado el autoinforme, subirlo a la categoría “</w:t>
      </w:r>
      <w:r w:rsidRPr="004443C6">
        <w:rPr>
          <w:b/>
          <w:bCs/>
        </w:rPr>
        <w:t>Seguimiento</w:t>
      </w:r>
      <w:r w:rsidRPr="004443C6">
        <w:rPr>
          <w:bCs/>
        </w:rPr>
        <w:t>”, subcategoría “</w:t>
      </w:r>
      <w:r w:rsidRPr="004443C6">
        <w:rPr>
          <w:b/>
          <w:bCs/>
        </w:rPr>
        <w:t>Autoinformes</w:t>
      </w:r>
      <w:r w:rsidRPr="004443C6">
        <w:rPr>
          <w:bCs/>
        </w:rPr>
        <w:t>”, con el nombre “</w:t>
      </w:r>
      <w:r w:rsidRPr="004443C6">
        <w:rPr>
          <w:b/>
          <w:bCs/>
        </w:rPr>
        <w:t>Autoinforme de seguimiento 18_19</w:t>
      </w:r>
      <w:r w:rsidRPr="004443C6">
        <w:rPr>
          <w:bCs/>
        </w:rPr>
        <w:t>”</w:t>
      </w:r>
      <w:r w:rsidR="00AF3846" w:rsidRPr="004443C6">
        <w:rPr>
          <w:bCs/>
        </w:rPr>
        <w:t xml:space="preserve"> con el campo “</w:t>
      </w:r>
      <w:r w:rsidR="00AF3846" w:rsidRPr="004443C6">
        <w:rPr>
          <w:b/>
          <w:bCs/>
        </w:rPr>
        <w:t>Visible web</w:t>
      </w:r>
      <w:r w:rsidR="00AF3846" w:rsidRPr="004443C6">
        <w:rPr>
          <w:bCs/>
        </w:rPr>
        <w:t>” a “</w:t>
      </w:r>
      <w:r w:rsidR="00AF3846" w:rsidRPr="004443C6">
        <w:rPr>
          <w:b/>
          <w:bCs/>
        </w:rPr>
        <w:t>No</w:t>
      </w:r>
      <w:r w:rsidR="00AF3846" w:rsidRPr="004443C6">
        <w:rPr>
          <w:bCs/>
        </w:rPr>
        <w:t>”</w:t>
      </w:r>
      <w:r w:rsidRPr="004443C6">
        <w:rPr>
          <w:bCs/>
        </w:rPr>
        <w:t>.</w:t>
      </w:r>
    </w:p>
    <w:p w:rsidR="005A3F95" w:rsidRPr="004443C6" w:rsidRDefault="005A3F95" w:rsidP="00F72A4D">
      <w:pPr>
        <w:spacing w:after="0" w:line="240" w:lineRule="auto"/>
        <w:rPr>
          <w:bCs/>
        </w:rPr>
      </w:pPr>
    </w:p>
    <w:p w:rsidR="00810052" w:rsidRPr="004443C6" w:rsidRDefault="00810052" w:rsidP="00F72A4D">
      <w:pPr>
        <w:spacing w:after="0" w:line="240" w:lineRule="auto"/>
        <w:rPr>
          <w:bCs/>
        </w:rPr>
      </w:pPr>
      <w:r w:rsidRPr="004443C6">
        <w:rPr>
          <w:bCs/>
        </w:rPr>
        <w:t>*</w:t>
      </w:r>
      <w:r w:rsidRPr="004443C6">
        <w:rPr>
          <w:b/>
          <w:bCs/>
        </w:rPr>
        <w:t>IMPORTANTE</w:t>
      </w:r>
      <w:r w:rsidRPr="004443C6">
        <w:rPr>
          <w:bCs/>
        </w:rPr>
        <w:t xml:space="preserve">: Para que la DEVA de por finalizada estas acciones de mejora, la evidencia a aportar deben ser tangibles (enlace web, documento Word, PDF). </w:t>
      </w:r>
      <w:hyperlink r:id="rId12" w:history="1">
        <w:r w:rsidRPr="008B1A4B">
          <w:rPr>
            <w:rStyle w:val="Hipervnculo"/>
            <w:bCs/>
          </w:rPr>
          <w:t>Instrucciones</w:t>
        </w:r>
      </w:hyperlink>
      <w:bookmarkStart w:id="0" w:name="_GoBack"/>
      <w:bookmarkEnd w:id="0"/>
    </w:p>
    <w:p w:rsidR="00FB7455" w:rsidRPr="00A31522" w:rsidRDefault="00FB7455" w:rsidP="00150266">
      <w:pPr>
        <w:spacing w:after="0" w:line="240" w:lineRule="auto"/>
        <w:jc w:val="both"/>
        <w:rPr>
          <w:b/>
          <w:bCs/>
        </w:rPr>
      </w:pPr>
    </w:p>
    <w:sectPr w:rsidR="00FB7455" w:rsidRPr="00A31522" w:rsidSect="003B2CBC">
      <w:type w:val="continuous"/>
      <w:pgSz w:w="11906" w:h="16838"/>
      <w:pgMar w:top="1780" w:right="907" w:bottom="567" w:left="907" w:header="426" w:footer="1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87" w:rsidRDefault="00D47A87" w:rsidP="009624EE">
      <w:pPr>
        <w:spacing w:after="0" w:line="240" w:lineRule="auto"/>
      </w:pPr>
      <w:r>
        <w:separator/>
      </w:r>
    </w:p>
  </w:endnote>
  <w:endnote w:type="continuationSeparator" w:id="0">
    <w:p w:rsidR="00D47A87" w:rsidRDefault="00D47A87" w:rsidP="009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288200"/>
      <w:docPartObj>
        <w:docPartGallery w:val="Page Numbers (Bottom of Page)"/>
        <w:docPartUnique/>
      </w:docPartObj>
    </w:sdtPr>
    <w:sdtEndPr/>
    <w:sdtContent>
      <w:p w:rsidR="00FF08A1" w:rsidRDefault="00FF08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87" w:rsidRDefault="00D47A87" w:rsidP="009624EE">
      <w:pPr>
        <w:spacing w:after="0" w:line="240" w:lineRule="auto"/>
      </w:pPr>
      <w:r>
        <w:separator/>
      </w:r>
    </w:p>
  </w:footnote>
  <w:footnote w:type="continuationSeparator" w:id="0">
    <w:p w:rsidR="00D47A87" w:rsidRDefault="00D47A87" w:rsidP="0096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4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</w:tblGrid>
    <w:tr w:rsidR="00D02234" w:rsidTr="00D02234">
      <w:trPr>
        <w:trHeight w:val="817"/>
      </w:trPr>
      <w:tc>
        <w:tcPr>
          <w:tcW w:w="3164" w:type="dxa"/>
        </w:tcPr>
        <w:p w:rsidR="00D02234" w:rsidRPr="00337CCF" w:rsidRDefault="00D02234" w:rsidP="00700746"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11AA9B37" wp14:editId="591151D7">
                <wp:simplePos x="0" y="0"/>
                <wp:positionH relativeFrom="column">
                  <wp:posOffset>129540</wp:posOffset>
                </wp:positionH>
                <wp:positionV relativeFrom="page">
                  <wp:posOffset>64770</wp:posOffset>
                </wp:positionV>
                <wp:extent cx="1659600" cy="460800"/>
                <wp:effectExtent l="0" t="0" r="0" b="0"/>
                <wp:wrapNone/>
                <wp:docPr id="1" name="Imagen 1" descr="UGR-MARCA-02-monocro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monocro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6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624EE" w:rsidRDefault="009624EE" w:rsidP="00196886">
    <w:pPr>
      <w:pStyle w:val="Encabezado"/>
      <w:pBdr>
        <w:bottom w:val="double" w:sz="4" w:space="1" w:color="1F497D" w:themeColor="text2"/>
      </w:pBdr>
      <w:tabs>
        <w:tab w:val="clear" w:pos="4252"/>
        <w:tab w:val="clear" w:pos="8504"/>
        <w:tab w:val="center" w:pos="4820"/>
        <w:tab w:val="right" w:pos="9639"/>
      </w:tabs>
    </w:pPr>
    <w:r>
      <w:tab/>
    </w:r>
    <w:r w:rsidR="00D02234">
      <w:t xml:space="preserve">Seguimiento </w:t>
    </w:r>
    <w:r>
      <w:t>Curso 201</w:t>
    </w:r>
    <w:r w:rsidR="00810052">
      <w:t>8</w:t>
    </w:r>
    <w:r>
      <w:t>/</w:t>
    </w:r>
    <w:r w:rsidR="00810052">
      <w:t>19</w:t>
    </w:r>
    <w:r>
      <w:tab/>
      <w:t>Convocatoria 201</w:t>
    </w:r>
    <w:r w:rsidR="004362D6">
      <w:t>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7DD"/>
    <w:multiLevelType w:val="hybridMultilevel"/>
    <w:tmpl w:val="D404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391"/>
    <w:multiLevelType w:val="hybridMultilevel"/>
    <w:tmpl w:val="19841F82"/>
    <w:lvl w:ilvl="0" w:tplc="EBC2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36F"/>
    <w:multiLevelType w:val="hybridMultilevel"/>
    <w:tmpl w:val="F8B6EF1A"/>
    <w:lvl w:ilvl="0" w:tplc="4B266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732E"/>
    <w:multiLevelType w:val="hybridMultilevel"/>
    <w:tmpl w:val="54BC1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4629"/>
    <w:multiLevelType w:val="hybridMultilevel"/>
    <w:tmpl w:val="A77A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B58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5"/>
    <w:rsid w:val="00034739"/>
    <w:rsid w:val="00046D26"/>
    <w:rsid w:val="00055E1B"/>
    <w:rsid w:val="00056661"/>
    <w:rsid w:val="001072BD"/>
    <w:rsid w:val="00113492"/>
    <w:rsid w:val="00150266"/>
    <w:rsid w:val="00160C32"/>
    <w:rsid w:val="00167BFE"/>
    <w:rsid w:val="00175565"/>
    <w:rsid w:val="0019046F"/>
    <w:rsid w:val="00196886"/>
    <w:rsid w:val="00197922"/>
    <w:rsid w:val="001A513C"/>
    <w:rsid w:val="001B4BF9"/>
    <w:rsid w:val="001D2D05"/>
    <w:rsid w:val="001D75A5"/>
    <w:rsid w:val="001F4A52"/>
    <w:rsid w:val="002116AB"/>
    <w:rsid w:val="0021611E"/>
    <w:rsid w:val="00217346"/>
    <w:rsid w:val="00252670"/>
    <w:rsid w:val="00271C4E"/>
    <w:rsid w:val="0029791C"/>
    <w:rsid w:val="003206B9"/>
    <w:rsid w:val="0036317E"/>
    <w:rsid w:val="003823B7"/>
    <w:rsid w:val="003A1E5F"/>
    <w:rsid w:val="003B2CBC"/>
    <w:rsid w:val="003D4F96"/>
    <w:rsid w:val="004127DD"/>
    <w:rsid w:val="00435CCC"/>
    <w:rsid w:val="004362D6"/>
    <w:rsid w:val="004443C6"/>
    <w:rsid w:val="004760B5"/>
    <w:rsid w:val="00495C48"/>
    <w:rsid w:val="004A6A40"/>
    <w:rsid w:val="004F5F32"/>
    <w:rsid w:val="00510229"/>
    <w:rsid w:val="0052058B"/>
    <w:rsid w:val="00540C5A"/>
    <w:rsid w:val="005619D2"/>
    <w:rsid w:val="005A30DB"/>
    <w:rsid w:val="005A3F95"/>
    <w:rsid w:val="005B6EC4"/>
    <w:rsid w:val="005E6D06"/>
    <w:rsid w:val="005F1D60"/>
    <w:rsid w:val="00625770"/>
    <w:rsid w:val="00661580"/>
    <w:rsid w:val="00685AD4"/>
    <w:rsid w:val="00691432"/>
    <w:rsid w:val="006A0453"/>
    <w:rsid w:val="006C06BA"/>
    <w:rsid w:val="006D3309"/>
    <w:rsid w:val="00732661"/>
    <w:rsid w:val="00754887"/>
    <w:rsid w:val="00765493"/>
    <w:rsid w:val="007762FA"/>
    <w:rsid w:val="007A3801"/>
    <w:rsid w:val="007C4113"/>
    <w:rsid w:val="007F7E45"/>
    <w:rsid w:val="00810052"/>
    <w:rsid w:val="0081226E"/>
    <w:rsid w:val="0082510E"/>
    <w:rsid w:val="00846D21"/>
    <w:rsid w:val="008A46AF"/>
    <w:rsid w:val="008B160A"/>
    <w:rsid w:val="008B1A4B"/>
    <w:rsid w:val="008B1C78"/>
    <w:rsid w:val="00904108"/>
    <w:rsid w:val="009061D5"/>
    <w:rsid w:val="009176D5"/>
    <w:rsid w:val="00926048"/>
    <w:rsid w:val="00942FC1"/>
    <w:rsid w:val="00960521"/>
    <w:rsid w:val="009624EE"/>
    <w:rsid w:val="009744B8"/>
    <w:rsid w:val="00987FC0"/>
    <w:rsid w:val="009A53BF"/>
    <w:rsid w:val="009F47DB"/>
    <w:rsid w:val="00A10E93"/>
    <w:rsid w:val="00A31522"/>
    <w:rsid w:val="00A93E95"/>
    <w:rsid w:val="00AD1757"/>
    <w:rsid w:val="00AF3846"/>
    <w:rsid w:val="00B04692"/>
    <w:rsid w:val="00B56B96"/>
    <w:rsid w:val="00BC1E67"/>
    <w:rsid w:val="00BC65C9"/>
    <w:rsid w:val="00BE60DF"/>
    <w:rsid w:val="00C16418"/>
    <w:rsid w:val="00C913A8"/>
    <w:rsid w:val="00CA23AC"/>
    <w:rsid w:val="00CB3ABF"/>
    <w:rsid w:val="00CB6028"/>
    <w:rsid w:val="00D02234"/>
    <w:rsid w:val="00D266DB"/>
    <w:rsid w:val="00D47921"/>
    <w:rsid w:val="00D47A87"/>
    <w:rsid w:val="00D547D1"/>
    <w:rsid w:val="00D56E2E"/>
    <w:rsid w:val="00D70E94"/>
    <w:rsid w:val="00D95C61"/>
    <w:rsid w:val="00D9698D"/>
    <w:rsid w:val="00DA3F70"/>
    <w:rsid w:val="00DD1F10"/>
    <w:rsid w:val="00DE30F4"/>
    <w:rsid w:val="00F00B35"/>
    <w:rsid w:val="00F15476"/>
    <w:rsid w:val="00F233B7"/>
    <w:rsid w:val="00F52024"/>
    <w:rsid w:val="00F72A4D"/>
    <w:rsid w:val="00F8475F"/>
    <w:rsid w:val="00F95040"/>
    <w:rsid w:val="00FB7455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3E95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60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F00B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4EE"/>
  </w:style>
  <w:style w:type="paragraph" w:styleId="Piedepgina">
    <w:name w:val="footer"/>
    <w:basedOn w:val="Normal"/>
    <w:link w:val="Piedepgina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4EE"/>
  </w:style>
  <w:style w:type="paragraph" w:styleId="Textodeglobo">
    <w:name w:val="Balloon Text"/>
    <w:basedOn w:val="Normal"/>
    <w:link w:val="TextodegloboCar"/>
    <w:uiPriority w:val="99"/>
    <w:semiHidden/>
    <w:unhideWhenUsed/>
    <w:rsid w:val="009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E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AD17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1D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A3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C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65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5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5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3E95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60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F00B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4EE"/>
  </w:style>
  <w:style w:type="paragraph" w:styleId="Piedepgina">
    <w:name w:val="footer"/>
    <w:basedOn w:val="Normal"/>
    <w:link w:val="Piedepgina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4EE"/>
  </w:style>
  <w:style w:type="paragraph" w:styleId="Textodeglobo">
    <w:name w:val="Balloon Text"/>
    <w:basedOn w:val="Normal"/>
    <w:link w:val="TextodegloboCar"/>
    <w:uiPriority w:val="99"/>
    <w:semiHidden/>
    <w:unhideWhenUsed/>
    <w:rsid w:val="009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E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AD17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1D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A3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C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65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5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5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gr.es/local/calidadtitulo/actualizacion_p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va.aac.es/include/files/universidades/seguimiento/Guia-SeguimientoDOCTORADOS.pdf?v=2020116105443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EDAA-2582-4C03-8148-10F5FB71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Pedro</cp:lastModifiedBy>
  <cp:revision>2</cp:revision>
  <cp:lastPrinted>2020-02-18T11:44:00Z</cp:lastPrinted>
  <dcterms:created xsi:type="dcterms:W3CDTF">2020-02-20T07:43:00Z</dcterms:created>
  <dcterms:modified xsi:type="dcterms:W3CDTF">2020-02-20T07:43:00Z</dcterms:modified>
</cp:coreProperties>
</file>